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2DC8" w14:textId="77777777" w:rsidR="00DC02C9" w:rsidRPr="00B34404" w:rsidRDefault="00DC02C9" w:rsidP="00ED75B8">
      <w:pPr>
        <w:spacing w:before="120" w:after="0"/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677C5275" w14:textId="77777777" w:rsidR="000C41A8" w:rsidRPr="00B34404" w:rsidRDefault="000C41A8" w:rsidP="00ED75B8">
      <w:pPr>
        <w:spacing w:before="120" w:after="0"/>
        <w:jc w:val="center"/>
        <w:rPr>
          <w:rFonts w:asciiTheme="majorHAnsi" w:hAnsiTheme="majorHAnsi" w:cstheme="majorHAnsi"/>
          <w:b/>
          <w:sz w:val="36"/>
          <w:szCs w:val="28"/>
        </w:rPr>
      </w:pPr>
      <w:r w:rsidRPr="00B34404">
        <w:rPr>
          <w:rFonts w:asciiTheme="majorHAnsi" w:hAnsiTheme="majorHAnsi" w:cstheme="majorHAnsi"/>
          <w:b/>
          <w:sz w:val="36"/>
          <w:szCs w:val="28"/>
        </w:rPr>
        <w:t xml:space="preserve">Descriptif d’enseignement </w:t>
      </w:r>
      <w:r w:rsidRPr="00B34404">
        <w:rPr>
          <w:rFonts w:asciiTheme="majorHAnsi" w:hAnsiTheme="majorHAnsi" w:cstheme="majorHAnsi"/>
          <w:b/>
          <w:i/>
          <w:color w:val="A6A6A6" w:themeColor="background1" w:themeShade="A6"/>
          <w:sz w:val="28"/>
          <w:szCs w:val="28"/>
        </w:rPr>
        <w:t>/ Course descriptions</w:t>
      </w:r>
    </w:p>
    <w:p w14:paraId="791CA865" w14:textId="68210284" w:rsidR="009C591E" w:rsidRDefault="009C591E" w:rsidP="00047ECA">
      <w:pPr>
        <w:jc w:val="center"/>
        <w:rPr>
          <w:rFonts w:asciiTheme="majorHAnsi" w:hAnsiTheme="majorHAnsi" w:cstheme="majorHAnsi"/>
          <w:noProof/>
          <w:szCs w:val="24"/>
        </w:rPr>
      </w:pPr>
      <w:r>
        <w:rPr>
          <w:rFonts w:asciiTheme="majorHAnsi" w:hAnsiTheme="majorHAnsi" w:cstheme="majorHAnsi"/>
          <w:noProof/>
          <w:szCs w:val="24"/>
        </w:rPr>
        <w:t>Transverse Environnement</w:t>
      </w:r>
    </w:p>
    <w:p w14:paraId="556A708C" w14:textId="49846ECB" w:rsidR="009C591E" w:rsidRDefault="009C591E" w:rsidP="00047ECA">
      <w:pPr>
        <w:jc w:val="center"/>
        <w:rPr>
          <w:rFonts w:asciiTheme="majorHAnsi" w:hAnsiTheme="majorHAnsi" w:cstheme="majorHAnsi"/>
          <w:noProof/>
          <w:szCs w:val="24"/>
        </w:rPr>
      </w:pPr>
      <w:r>
        <w:rPr>
          <w:rFonts w:asciiTheme="majorHAnsi" w:hAnsiTheme="majorHAnsi" w:cstheme="majorHAnsi"/>
          <w:noProof/>
          <w:szCs w:val="24"/>
        </w:rPr>
        <w:t>2022-2023</w:t>
      </w:r>
    </w:p>
    <w:p w14:paraId="277435A3" w14:textId="788B812B" w:rsidR="000C41A8" w:rsidRPr="00B34404" w:rsidRDefault="0021014C" w:rsidP="00047ECA">
      <w:pPr>
        <w:jc w:val="center"/>
        <w:rPr>
          <w:rFonts w:asciiTheme="majorHAnsi" w:hAnsiTheme="majorHAnsi" w:cstheme="majorHAnsi"/>
          <w:sz w:val="20"/>
          <w:szCs w:val="28"/>
        </w:rPr>
      </w:pPr>
      <w:r w:rsidRPr="00B34404">
        <w:rPr>
          <w:rFonts w:asciiTheme="majorHAnsi" w:hAnsiTheme="majorHAnsi" w:cstheme="majorHAnsi"/>
          <w:noProof/>
          <w:szCs w:val="24"/>
        </w:rPr>
        <w:t xml:space="preserve">Cycle Master 2 - Semestre </w:t>
      </w:r>
      <w:r w:rsidR="009C591E">
        <w:rPr>
          <w:rFonts w:asciiTheme="majorHAnsi" w:hAnsiTheme="majorHAnsi" w:cstheme="majorHAnsi"/>
          <w:noProof/>
          <w:szCs w:val="24"/>
        </w:rPr>
        <w:t>3</w:t>
      </w:r>
    </w:p>
    <w:p w14:paraId="303A6D9B" w14:textId="77777777" w:rsidR="000C41A8" w:rsidRPr="00B34404" w:rsidRDefault="000C41A8" w:rsidP="009B5807">
      <w:pPr>
        <w:spacing w:after="0"/>
        <w:jc w:val="right"/>
        <w:rPr>
          <w:rFonts w:asciiTheme="majorHAnsi" w:hAnsiTheme="majorHAnsi" w:cstheme="majorHAnsi"/>
          <w:szCs w:val="28"/>
        </w:rPr>
      </w:pPr>
    </w:p>
    <w:p w14:paraId="4C8BA069" w14:textId="77777777" w:rsidR="000C41A8" w:rsidRPr="00B34404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r w:rsidRPr="00B34404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Titre du cours </w:t>
      </w:r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>-</w:t>
      </w:r>
      <w:r w:rsidRPr="00B34404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</w:t>
      </w:r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 xml:space="preserve">Course </w:t>
      </w:r>
      <w:proofErr w:type="spellStart"/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>title</w:t>
      </w:r>
      <w:proofErr w:type="spellEnd"/>
    </w:p>
    <w:p w14:paraId="2395B277" w14:textId="0F2509FE" w:rsidR="00A93E58" w:rsidRPr="00B34404" w:rsidRDefault="0018354D" w:rsidP="3784A4B1">
      <w:pPr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B34404">
        <w:rPr>
          <w:rFonts w:asciiTheme="majorHAnsi" w:hAnsiTheme="majorHAnsi" w:cstheme="majorHAnsi"/>
          <w:b/>
          <w:bCs/>
          <w:noProof/>
          <w:sz w:val="24"/>
          <w:szCs w:val="24"/>
        </w:rPr>
        <w:t>Le cadre juridique des politiques environnementales</w:t>
      </w:r>
    </w:p>
    <w:p w14:paraId="41D20ADF" w14:textId="77777777" w:rsidR="000C41A8" w:rsidRPr="00B34404" w:rsidRDefault="000C41A8" w:rsidP="009B5807">
      <w:pPr>
        <w:tabs>
          <w:tab w:val="left" w:pos="1843"/>
        </w:tabs>
        <w:spacing w:after="60" w:line="240" w:lineRule="auto"/>
        <w:rPr>
          <w:rFonts w:asciiTheme="majorHAnsi" w:hAnsiTheme="majorHAnsi" w:cstheme="majorHAnsi"/>
          <w:sz w:val="24"/>
          <w:szCs w:val="28"/>
          <w:u w:val="single"/>
        </w:rPr>
      </w:pPr>
      <w:r w:rsidRPr="00B34404">
        <w:rPr>
          <w:rFonts w:asciiTheme="majorHAnsi" w:hAnsiTheme="majorHAnsi" w:cstheme="majorHAnsi"/>
          <w:b/>
          <w:noProof/>
          <w:sz w:val="20"/>
        </w:rPr>
        <w:t xml:space="preserve">Type de cours : </w:t>
      </w:r>
      <w:r w:rsidR="00FC5A99" w:rsidRPr="00B34404">
        <w:rPr>
          <w:rFonts w:asciiTheme="majorHAnsi" w:hAnsiTheme="majorHAnsi" w:cstheme="majorHAnsi"/>
          <w:noProof/>
          <w:sz w:val="20"/>
        </w:rPr>
        <w:t>Séminaire</w:t>
      </w:r>
    </w:p>
    <w:p w14:paraId="31F7EFFE" w14:textId="2932D5D8" w:rsidR="000C41A8" w:rsidRPr="00B34404" w:rsidRDefault="000C41A8" w:rsidP="009B5807">
      <w:pPr>
        <w:tabs>
          <w:tab w:val="left" w:pos="1843"/>
        </w:tabs>
        <w:spacing w:after="60" w:line="240" w:lineRule="auto"/>
        <w:rPr>
          <w:rFonts w:asciiTheme="majorHAnsi" w:hAnsiTheme="majorHAnsi" w:cstheme="majorHAnsi"/>
          <w:noProof/>
          <w:sz w:val="20"/>
        </w:rPr>
      </w:pPr>
      <w:r w:rsidRPr="00B34404">
        <w:rPr>
          <w:rFonts w:asciiTheme="majorHAnsi" w:hAnsiTheme="majorHAnsi" w:cstheme="majorHAnsi"/>
          <w:b/>
          <w:noProof/>
          <w:sz w:val="20"/>
        </w:rPr>
        <w:t xml:space="preserve">Langue du cours/Language of instruction : </w:t>
      </w:r>
      <w:r w:rsidR="00C601F0" w:rsidRPr="00B34404">
        <w:rPr>
          <w:rFonts w:asciiTheme="majorHAnsi" w:hAnsiTheme="majorHAnsi" w:cstheme="majorHAnsi"/>
          <w:noProof/>
          <w:sz w:val="20"/>
        </w:rPr>
        <w:t>français</w:t>
      </w:r>
    </w:p>
    <w:p w14:paraId="0FBEBB18" w14:textId="77777777" w:rsidR="000C41A8" w:rsidRPr="00B34404" w:rsidRDefault="000C41A8" w:rsidP="009B5807">
      <w:pPr>
        <w:tabs>
          <w:tab w:val="left" w:pos="1843"/>
        </w:tabs>
        <w:spacing w:after="60" w:line="240" w:lineRule="auto"/>
        <w:rPr>
          <w:rFonts w:asciiTheme="majorHAnsi" w:hAnsiTheme="majorHAnsi" w:cstheme="majorHAnsi"/>
          <w:b/>
          <w:noProof/>
          <w:sz w:val="20"/>
        </w:rPr>
      </w:pPr>
    </w:p>
    <w:p w14:paraId="231C36B3" w14:textId="77777777" w:rsidR="000C41A8" w:rsidRPr="00B34404" w:rsidRDefault="000C41A8" w:rsidP="00EC58B1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r w:rsidRPr="00B34404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Enseignant(s) </w:t>
      </w:r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>–</w:t>
      </w:r>
      <w:r w:rsidRPr="00B34404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</w:t>
      </w:r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>Professor(s)</w:t>
      </w:r>
    </w:p>
    <w:p w14:paraId="0C6B4699" w14:textId="7C9298CA" w:rsidR="000C41A8" w:rsidRPr="00B34404" w:rsidRDefault="0018354D" w:rsidP="009B5807">
      <w:pPr>
        <w:tabs>
          <w:tab w:val="left" w:pos="1843"/>
        </w:tabs>
        <w:spacing w:after="60" w:line="240" w:lineRule="auto"/>
        <w:rPr>
          <w:rFonts w:asciiTheme="majorHAnsi" w:hAnsiTheme="majorHAnsi" w:cstheme="majorHAnsi"/>
          <w:szCs w:val="28"/>
        </w:rPr>
      </w:pPr>
      <w:r w:rsidRPr="00B34404">
        <w:rPr>
          <w:rFonts w:asciiTheme="majorHAnsi" w:hAnsiTheme="majorHAnsi" w:cstheme="majorHAnsi"/>
          <w:smallCaps/>
          <w:noProof/>
          <w:szCs w:val="28"/>
        </w:rPr>
        <w:t>Geynet-Dussauze</w:t>
      </w:r>
      <w:r w:rsidRPr="00B34404">
        <w:rPr>
          <w:rFonts w:asciiTheme="majorHAnsi" w:hAnsiTheme="majorHAnsi" w:cstheme="majorHAnsi"/>
          <w:noProof/>
          <w:szCs w:val="28"/>
        </w:rPr>
        <w:t xml:space="preserve"> Chloë</w:t>
      </w:r>
    </w:p>
    <w:p w14:paraId="0A801FB2" w14:textId="3D5E7E73" w:rsidR="00444FA0" w:rsidRPr="00B34404" w:rsidRDefault="00FC5A99" w:rsidP="00444FA0">
      <w:pPr>
        <w:tabs>
          <w:tab w:val="left" w:pos="1843"/>
        </w:tabs>
        <w:spacing w:after="60" w:line="240" w:lineRule="auto"/>
        <w:rPr>
          <w:rFonts w:asciiTheme="majorHAnsi" w:hAnsiTheme="majorHAnsi" w:cstheme="majorHAnsi"/>
          <w:noProof/>
          <w:szCs w:val="28"/>
        </w:rPr>
      </w:pPr>
      <w:r w:rsidRPr="00B34404">
        <w:rPr>
          <w:rFonts w:asciiTheme="majorHAnsi" w:hAnsiTheme="majorHAnsi" w:cstheme="majorHAnsi"/>
          <w:noProof/>
          <w:szCs w:val="28"/>
        </w:rPr>
        <w:t xml:space="preserve">Maître de conférences, </w:t>
      </w:r>
      <w:r w:rsidR="0018354D" w:rsidRPr="00B34404">
        <w:rPr>
          <w:rFonts w:asciiTheme="majorHAnsi" w:hAnsiTheme="majorHAnsi" w:cstheme="majorHAnsi"/>
          <w:noProof/>
          <w:szCs w:val="28"/>
        </w:rPr>
        <w:t>Droit public</w:t>
      </w:r>
    </w:p>
    <w:p w14:paraId="704CA768" w14:textId="6C77B81F" w:rsidR="00DC02C9" w:rsidRPr="00B34404" w:rsidRDefault="000C41A8" w:rsidP="00735CF0">
      <w:pPr>
        <w:tabs>
          <w:tab w:val="left" w:pos="1843"/>
        </w:tabs>
        <w:spacing w:after="60" w:line="240" w:lineRule="auto"/>
        <w:rPr>
          <w:rFonts w:asciiTheme="majorHAnsi" w:hAnsiTheme="majorHAnsi" w:cstheme="majorHAnsi"/>
          <w:noProof/>
        </w:rPr>
      </w:pPr>
      <w:r w:rsidRPr="00B34404">
        <w:rPr>
          <w:rFonts w:asciiTheme="majorHAnsi" w:hAnsiTheme="majorHAnsi" w:cstheme="majorHAnsi"/>
          <w:i/>
          <w:sz w:val="20"/>
          <w:u w:val="single"/>
        </w:rPr>
        <w:t>Contact</w:t>
      </w:r>
      <w:r w:rsidRPr="00B34404">
        <w:rPr>
          <w:rFonts w:asciiTheme="majorHAnsi" w:hAnsiTheme="majorHAnsi" w:cstheme="majorHAnsi"/>
          <w:i/>
          <w:sz w:val="20"/>
        </w:rPr>
        <w:t xml:space="preserve"> : </w:t>
      </w:r>
      <w:hyperlink r:id="rId7" w:history="1">
        <w:r w:rsidR="0018354D" w:rsidRPr="00B34404">
          <w:rPr>
            <w:rStyle w:val="Lienhypertexte"/>
            <w:rFonts w:asciiTheme="majorHAnsi" w:hAnsiTheme="majorHAnsi" w:cstheme="majorHAnsi"/>
            <w:i/>
            <w:sz w:val="20"/>
          </w:rPr>
          <w:t>chloe.geynet-dussauze@sciencespo-lille.eu</w:t>
        </w:r>
      </w:hyperlink>
      <w:r w:rsidR="00FC5A99" w:rsidRPr="00B34404">
        <w:rPr>
          <w:rFonts w:asciiTheme="majorHAnsi" w:hAnsiTheme="majorHAnsi" w:cstheme="majorHAnsi"/>
          <w:i/>
          <w:sz w:val="20"/>
        </w:rPr>
        <w:t xml:space="preserve"> </w:t>
      </w:r>
    </w:p>
    <w:p w14:paraId="47BF4661" w14:textId="77777777" w:rsidR="000C41A8" w:rsidRPr="00B34404" w:rsidRDefault="000C41A8" w:rsidP="009B5807">
      <w:pPr>
        <w:tabs>
          <w:tab w:val="left" w:pos="1843"/>
        </w:tabs>
        <w:spacing w:after="60" w:line="240" w:lineRule="auto"/>
        <w:rPr>
          <w:rFonts w:asciiTheme="majorHAnsi" w:hAnsiTheme="majorHAnsi" w:cstheme="majorHAnsi"/>
          <w:sz w:val="24"/>
          <w:szCs w:val="28"/>
          <w:u w:val="single"/>
        </w:rPr>
      </w:pPr>
    </w:p>
    <w:p w14:paraId="0FFBCBFC" w14:textId="77777777" w:rsidR="000C41A8" w:rsidRPr="00B34404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r w:rsidRPr="00B34404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Résumé du cours – Objectifs </w:t>
      </w:r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 xml:space="preserve">- Course description – </w:t>
      </w:r>
      <w:proofErr w:type="spellStart"/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>Targets</w:t>
      </w:r>
      <w:proofErr w:type="spellEnd"/>
    </w:p>
    <w:p w14:paraId="49CD46BB" w14:textId="77777777" w:rsidR="00127546" w:rsidRPr="00B34404" w:rsidRDefault="00127546" w:rsidP="00127546">
      <w:pPr>
        <w:pStyle w:val="Default"/>
        <w:rPr>
          <w:rFonts w:asciiTheme="majorHAnsi" w:hAnsiTheme="majorHAnsi" w:cstheme="majorHAnsi"/>
          <w:color w:val="auto"/>
        </w:rPr>
      </w:pPr>
    </w:p>
    <w:p w14:paraId="6F7E98FA" w14:textId="6D0DD948" w:rsidR="0018354D" w:rsidRPr="00B34404" w:rsidRDefault="00127546" w:rsidP="00437609">
      <w:pPr>
        <w:pStyle w:val="Default"/>
        <w:jc w:val="both"/>
        <w:rPr>
          <w:rFonts w:asciiTheme="majorHAnsi" w:hAnsiTheme="majorHAnsi" w:cstheme="majorHAnsi"/>
          <w:sz w:val="22"/>
          <w:szCs w:val="20"/>
        </w:rPr>
      </w:pPr>
      <w:r w:rsidRPr="00B34404">
        <w:rPr>
          <w:rFonts w:asciiTheme="majorHAnsi" w:hAnsiTheme="majorHAnsi" w:cstheme="majorHAnsi"/>
          <w:sz w:val="22"/>
          <w:szCs w:val="20"/>
        </w:rPr>
        <w:t xml:space="preserve">Ce séminaire a pour objectif principal </w:t>
      </w:r>
      <w:r w:rsidR="006E2E95" w:rsidRPr="00B34404">
        <w:rPr>
          <w:rFonts w:asciiTheme="majorHAnsi" w:hAnsiTheme="majorHAnsi" w:cstheme="majorHAnsi"/>
          <w:sz w:val="22"/>
          <w:szCs w:val="20"/>
        </w:rPr>
        <w:t xml:space="preserve">de permettre l’acquisition d’une culture juridique environnementale globale, </w:t>
      </w:r>
      <w:r w:rsidR="006E2E95" w:rsidRPr="00B34404">
        <w:rPr>
          <w:rFonts w:asciiTheme="majorHAnsi" w:hAnsiTheme="majorHAnsi" w:cstheme="majorHAnsi"/>
          <w:i/>
          <w:iCs/>
          <w:sz w:val="22"/>
          <w:szCs w:val="20"/>
        </w:rPr>
        <w:t>via</w:t>
      </w:r>
      <w:r w:rsidR="006E2E95" w:rsidRPr="00B34404">
        <w:rPr>
          <w:rFonts w:asciiTheme="majorHAnsi" w:hAnsiTheme="majorHAnsi" w:cstheme="majorHAnsi"/>
          <w:sz w:val="22"/>
          <w:szCs w:val="20"/>
        </w:rPr>
        <w:t xml:space="preserve"> une analyse du</w:t>
      </w:r>
      <w:r w:rsidR="0018354D" w:rsidRPr="00B34404">
        <w:rPr>
          <w:rFonts w:asciiTheme="majorHAnsi" w:hAnsiTheme="majorHAnsi" w:cstheme="majorHAnsi"/>
          <w:sz w:val="22"/>
          <w:szCs w:val="20"/>
        </w:rPr>
        <w:t xml:space="preserve"> cadre juridique général des politiques environnementales. Au-delà de </w:t>
      </w:r>
      <w:r w:rsidR="006E2E95" w:rsidRPr="00B34404">
        <w:rPr>
          <w:rFonts w:asciiTheme="majorHAnsi" w:hAnsiTheme="majorHAnsi" w:cstheme="majorHAnsi"/>
          <w:sz w:val="22"/>
          <w:szCs w:val="20"/>
        </w:rPr>
        <w:t>l’étude</w:t>
      </w:r>
      <w:r w:rsidR="0018354D" w:rsidRPr="00B34404">
        <w:rPr>
          <w:rFonts w:asciiTheme="majorHAnsi" w:hAnsiTheme="majorHAnsi" w:cstheme="majorHAnsi"/>
          <w:sz w:val="22"/>
          <w:szCs w:val="20"/>
        </w:rPr>
        <w:t xml:space="preserve"> des principales sources du droit de l’environnement, cet enseignement a vocation à familiariser l’étudiant aux problématiques juridiques concrètes dans ce domaine. </w:t>
      </w:r>
      <w:r w:rsidR="004347F9" w:rsidRPr="00B34404">
        <w:rPr>
          <w:rFonts w:asciiTheme="majorHAnsi" w:hAnsiTheme="majorHAnsi" w:cstheme="majorHAnsi"/>
          <w:sz w:val="22"/>
          <w:szCs w:val="20"/>
        </w:rPr>
        <w:t xml:space="preserve">Comment se traduit, en pratique, le principe pollueur-payeur ? Qui peut être considéré comme responsable en cas d’atteinte avérée à l’environnement ? Plus encore, la nature peut-elle et doit-elle avoir des droits ? </w:t>
      </w:r>
      <w:r w:rsidR="006E2E95" w:rsidRPr="00B34404">
        <w:rPr>
          <w:rFonts w:asciiTheme="majorHAnsi" w:hAnsiTheme="majorHAnsi" w:cstheme="majorHAnsi"/>
          <w:sz w:val="22"/>
          <w:szCs w:val="20"/>
        </w:rPr>
        <w:t>À travers le prisme environnemental, il s’agira ainsi indirectement de tester les vertus ainsi que les limites du droit</w:t>
      </w:r>
      <w:r w:rsidR="0018354D" w:rsidRPr="00B34404">
        <w:rPr>
          <w:rFonts w:asciiTheme="majorHAnsi" w:hAnsiTheme="majorHAnsi" w:cstheme="majorHAnsi"/>
          <w:sz w:val="22"/>
          <w:szCs w:val="20"/>
        </w:rPr>
        <w:t xml:space="preserve"> </w:t>
      </w:r>
      <w:r w:rsidR="00BD03F0" w:rsidRPr="00B34404">
        <w:rPr>
          <w:rFonts w:asciiTheme="majorHAnsi" w:hAnsiTheme="majorHAnsi" w:cstheme="majorHAnsi"/>
          <w:sz w:val="22"/>
          <w:szCs w:val="20"/>
        </w:rPr>
        <w:t>face aux défis posés par l’urgence de la transition écologique</w:t>
      </w:r>
      <w:r w:rsidR="006E2E95" w:rsidRPr="00B34404">
        <w:rPr>
          <w:rFonts w:asciiTheme="majorHAnsi" w:hAnsiTheme="majorHAnsi" w:cstheme="majorHAnsi"/>
          <w:sz w:val="22"/>
          <w:szCs w:val="20"/>
        </w:rPr>
        <w:t xml:space="preserve">. </w:t>
      </w:r>
      <w:r w:rsidR="006C32DE" w:rsidRPr="00B34404">
        <w:rPr>
          <w:rFonts w:asciiTheme="majorHAnsi" w:hAnsiTheme="majorHAnsi" w:cstheme="majorHAnsi"/>
          <w:sz w:val="22"/>
          <w:szCs w:val="20"/>
        </w:rPr>
        <w:t>Plusieurs professionnels intervien</w:t>
      </w:r>
      <w:r w:rsidR="00B34404" w:rsidRPr="00B34404">
        <w:rPr>
          <w:rFonts w:asciiTheme="majorHAnsi" w:hAnsiTheme="majorHAnsi" w:cstheme="majorHAnsi"/>
          <w:sz w:val="22"/>
          <w:szCs w:val="20"/>
        </w:rPr>
        <w:t>dront</w:t>
      </w:r>
      <w:r w:rsidR="006C32DE" w:rsidRPr="00B34404">
        <w:rPr>
          <w:rFonts w:asciiTheme="majorHAnsi" w:hAnsiTheme="majorHAnsi" w:cstheme="majorHAnsi"/>
          <w:sz w:val="22"/>
          <w:szCs w:val="20"/>
        </w:rPr>
        <w:t xml:space="preserve"> au fil du séminaire (notamment des membres de la Convention citoyenne pour le Climat) pour comprendre la difficulté qui peut exister à transformer une exigence écologique en règle juridique. </w:t>
      </w:r>
    </w:p>
    <w:p w14:paraId="44A6A334" w14:textId="77777777" w:rsidR="00127546" w:rsidRPr="00B34404" w:rsidRDefault="00127546" w:rsidP="009B5807">
      <w:pPr>
        <w:tabs>
          <w:tab w:val="left" w:pos="1843"/>
        </w:tabs>
        <w:spacing w:after="60" w:line="240" w:lineRule="auto"/>
        <w:jc w:val="both"/>
        <w:rPr>
          <w:rFonts w:asciiTheme="majorHAnsi" w:hAnsiTheme="majorHAnsi" w:cstheme="majorHAnsi"/>
        </w:rPr>
      </w:pPr>
    </w:p>
    <w:p w14:paraId="47CFD6EF" w14:textId="77777777" w:rsidR="000C41A8" w:rsidRPr="00B34404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r w:rsidRPr="00B34404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Evaluation </w:t>
      </w:r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 xml:space="preserve">- </w:t>
      </w:r>
      <w:proofErr w:type="spellStart"/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>Assessment</w:t>
      </w:r>
      <w:proofErr w:type="spellEnd"/>
    </w:p>
    <w:p w14:paraId="0B756EE3" w14:textId="77777777" w:rsidR="000C41A8" w:rsidRPr="00B34404" w:rsidRDefault="000C41A8" w:rsidP="009B5807">
      <w:pPr>
        <w:spacing w:after="60" w:line="240" w:lineRule="auto"/>
        <w:jc w:val="both"/>
        <w:rPr>
          <w:rFonts w:asciiTheme="majorHAnsi" w:hAnsiTheme="majorHAnsi" w:cstheme="majorHAnsi"/>
        </w:rPr>
      </w:pPr>
    </w:p>
    <w:p w14:paraId="16C95556" w14:textId="37EA1831" w:rsidR="000F13C3" w:rsidRPr="00B34404" w:rsidRDefault="00D72AA3" w:rsidP="00385E33">
      <w:pPr>
        <w:pStyle w:val="Default"/>
        <w:jc w:val="both"/>
        <w:rPr>
          <w:rFonts w:asciiTheme="majorHAnsi" w:hAnsiTheme="majorHAnsi" w:cstheme="majorHAnsi"/>
          <w:sz w:val="22"/>
          <w:szCs w:val="20"/>
        </w:rPr>
      </w:pPr>
      <w:r w:rsidRPr="00B34404">
        <w:rPr>
          <w:rFonts w:asciiTheme="majorHAnsi" w:hAnsiTheme="majorHAnsi" w:cstheme="majorHAnsi"/>
          <w:sz w:val="22"/>
          <w:szCs w:val="20"/>
        </w:rPr>
        <w:t xml:space="preserve">Tout au long du cours, </w:t>
      </w:r>
      <w:r w:rsidR="00B34404" w:rsidRPr="00B34404">
        <w:rPr>
          <w:rFonts w:asciiTheme="majorHAnsi" w:hAnsiTheme="majorHAnsi" w:cstheme="majorHAnsi"/>
          <w:sz w:val="22"/>
          <w:szCs w:val="20"/>
        </w:rPr>
        <w:t>des exercices seront organisés sous forme de débats. I</w:t>
      </w:r>
      <w:r w:rsidRPr="00B34404">
        <w:rPr>
          <w:rFonts w:asciiTheme="majorHAnsi" w:hAnsiTheme="majorHAnsi" w:cstheme="majorHAnsi"/>
          <w:sz w:val="22"/>
          <w:szCs w:val="20"/>
        </w:rPr>
        <w:t>l s’agira</w:t>
      </w:r>
      <w:r w:rsidR="00B34404" w:rsidRPr="00B34404">
        <w:rPr>
          <w:rFonts w:asciiTheme="majorHAnsi" w:hAnsiTheme="majorHAnsi" w:cstheme="majorHAnsi"/>
          <w:sz w:val="22"/>
          <w:szCs w:val="20"/>
        </w:rPr>
        <w:t>, par exemple,</w:t>
      </w:r>
      <w:r w:rsidRPr="00B34404">
        <w:rPr>
          <w:rFonts w:asciiTheme="majorHAnsi" w:hAnsiTheme="majorHAnsi" w:cstheme="majorHAnsi"/>
          <w:sz w:val="22"/>
          <w:szCs w:val="20"/>
        </w:rPr>
        <w:t xml:space="preserve"> d’analyser les « meilleurs moyens » de construire la norme environnementale pour la rendre plus légitime et donc plus facilement acceptable : faut-il s’en remettre uniquement aux parlementaires ? Doit-on désormais privilégier l’organisation d’une convention citoyenne ? Faut-il organiser un débat public ? Un référendum ? Ou bien s’en remettre à des institutions </w:t>
      </w:r>
      <w:r w:rsidRPr="00B34404">
        <w:rPr>
          <w:rFonts w:asciiTheme="majorHAnsi" w:hAnsiTheme="majorHAnsi" w:cstheme="majorHAnsi"/>
          <w:i/>
          <w:iCs/>
          <w:sz w:val="22"/>
          <w:szCs w:val="20"/>
        </w:rPr>
        <w:t>ad hoc</w:t>
      </w:r>
      <w:r w:rsidRPr="00B34404">
        <w:rPr>
          <w:rFonts w:asciiTheme="majorHAnsi" w:hAnsiTheme="majorHAnsi" w:cstheme="majorHAnsi"/>
          <w:sz w:val="22"/>
          <w:szCs w:val="20"/>
        </w:rPr>
        <w:t xml:space="preserve"> comme le Haut Conseil pour le climat ? Lors de la séance finale, </w:t>
      </w:r>
      <w:r w:rsidR="00385E33" w:rsidRPr="00B34404">
        <w:rPr>
          <w:rFonts w:asciiTheme="majorHAnsi" w:hAnsiTheme="majorHAnsi" w:cstheme="majorHAnsi"/>
          <w:sz w:val="22"/>
          <w:szCs w:val="20"/>
        </w:rPr>
        <w:t>les étudiant</w:t>
      </w:r>
      <w:r w:rsidR="000F13C3" w:rsidRPr="00B34404">
        <w:rPr>
          <w:rFonts w:asciiTheme="majorHAnsi" w:hAnsiTheme="majorHAnsi" w:cstheme="majorHAnsi"/>
          <w:sz w:val="22"/>
          <w:szCs w:val="20"/>
        </w:rPr>
        <w:t xml:space="preserve">s incarneront des députés et des sénateurs chargés de transformer des propositions de la Convention citoyenne pour le climat en dispositions législatives. </w:t>
      </w:r>
    </w:p>
    <w:p w14:paraId="2CF39147" w14:textId="77777777" w:rsidR="00F014C0" w:rsidRPr="00B34404" w:rsidRDefault="00F014C0" w:rsidP="009B5807">
      <w:pPr>
        <w:spacing w:after="60" w:line="240" w:lineRule="auto"/>
        <w:jc w:val="both"/>
        <w:rPr>
          <w:rFonts w:asciiTheme="majorHAnsi" w:hAnsiTheme="majorHAnsi" w:cstheme="majorHAnsi"/>
        </w:rPr>
      </w:pPr>
    </w:p>
    <w:p w14:paraId="171917C1" w14:textId="77777777" w:rsidR="000C41A8" w:rsidRPr="00B34404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r w:rsidRPr="00B34404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Plan – Séances </w:t>
      </w:r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 xml:space="preserve">- Course </w:t>
      </w:r>
      <w:proofErr w:type="spellStart"/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>outline</w:t>
      </w:r>
      <w:proofErr w:type="spellEnd"/>
    </w:p>
    <w:p w14:paraId="38B0FB1D" w14:textId="77777777" w:rsidR="00C32368" w:rsidRPr="00B34404" w:rsidRDefault="00C32368" w:rsidP="00F014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CB47A33" w14:textId="77777777" w:rsidR="00B34404" w:rsidRPr="00B34404" w:rsidRDefault="00B34404" w:rsidP="00B34404">
      <w:pPr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B34404">
        <w:rPr>
          <w:rFonts w:asciiTheme="majorHAnsi" w:hAnsiTheme="majorHAnsi" w:cstheme="majorHAnsi"/>
          <w:b/>
          <w:bCs/>
          <w:smallCaps/>
          <w:sz w:val="24"/>
          <w:szCs w:val="24"/>
        </w:rPr>
        <w:t>Partie I : Les sources du droit de l’environnement</w:t>
      </w:r>
    </w:p>
    <w:p w14:paraId="42C0CCB2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 : Les sources </w:t>
      </w:r>
      <w:proofErr w:type="spellStart"/>
      <w:r w:rsidRPr="00B34404">
        <w:rPr>
          <w:rFonts w:asciiTheme="majorHAnsi" w:hAnsiTheme="majorHAnsi" w:cstheme="majorHAnsi"/>
          <w:sz w:val="24"/>
          <w:szCs w:val="24"/>
        </w:rPr>
        <w:t>supra-nationales</w:t>
      </w:r>
      <w:proofErr w:type="spellEnd"/>
    </w:p>
    <w:p w14:paraId="79799E27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z w:val="24"/>
          <w:szCs w:val="24"/>
        </w:rPr>
        <w:t>§I : Les sources internationales</w:t>
      </w:r>
    </w:p>
    <w:p w14:paraId="49B54809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z w:val="24"/>
          <w:szCs w:val="24"/>
        </w:rPr>
        <w:lastRenderedPageBreak/>
        <w:t>§II : Les sources européennes</w:t>
      </w:r>
    </w:p>
    <w:p w14:paraId="6533159C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II : Les sources internes</w:t>
      </w:r>
    </w:p>
    <w:p w14:paraId="73D0F9EE" w14:textId="77777777" w:rsidR="00B34404" w:rsidRPr="00B34404" w:rsidRDefault="00B34404" w:rsidP="00B34404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z w:val="24"/>
          <w:szCs w:val="24"/>
        </w:rPr>
        <w:t>§I : La constitutionnalisation de la préservation de l’environnement</w:t>
      </w:r>
    </w:p>
    <w:p w14:paraId="33110DC2" w14:textId="77777777" w:rsidR="00B34404" w:rsidRPr="00B34404" w:rsidRDefault="00B34404" w:rsidP="00B34404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z w:val="24"/>
          <w:szCs w:val="24"/>
        </w:rPr>
        <w:t>§II : L’importance des normes infra-constitutionnelles dans la préservation de l’environnement</w:t>
      </w:r>
    </w:p>
    <w:p w14:paraId="30498D57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III : Le rôle croissant des juges</w:t>
      </w:r>
    </w:p>
    <w:p w14:paraId="10C00F7C" w14:textId="77777777" w:rsidR="00B34404" w:rsidRPr="00B34404" w:rsidRDefault="00B34404" w:rsidP="00B34404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z w:val="24"/>
          <w:szCs w:val="24"/>
        </w:rPr>
        <w:t>§I : Les juges ordinaires</w:t>
      </w:r>
    </w:p>
    <w:p w14:paraId="331EC976" w14:textId="77777777" w:rsidR="00B34404" w:rsidRPr="00B34404" w:rsidRDefault="00B34404" w:rsidP="00B34404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z w:val="24"/>
          <w:szCs w:val="24"/>
        </w:rPr>
        <w:t>§II : Les juges constitutionnels</w:t>
      </w:r>
    </w:p>
    <w:p w14:paraId="3F237D4C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F8AA6BF" w14:textId="77777777" w:rsidR="00B34404" w:rsidRPr="00B34404" w:rsidRDefault="00B34404" w:rsidP="00B34404">
      <w:pPr>
        <w:jc w:val="both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B34404">
        <w:rPr>
          <w:rFonts w:asciiTheme="majorHAnsi" w:hAnsiTheme="majorHAnsi" w:cstheme="majorHAnsi"/>
          <w:b/>
          <w:bCs/>
          <w:smallCaps/>
          <w:sz w:val="24"/>
          <w:szCs w:val="24"/>
        </w:rPr>
        <w:t>Partie II : Les principes et les règles découlant du droit de l’homme à</w:t>
      </w:r>
      <w:r w:rsidRPr="00B34404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 w:rsidRPr="00B34404">
        <w:rPr>
          <w:rFonts w:asciiTheme="majorHAnsi" w:hAnsiTheme="majorHAnsi" w:cstheme="majorHAnsi"/>
          <w:b/>
          <w:bCs/>
          <w:smallCaps/>
          <w:sz w:val="24"/>
          <w:szCs w:val="24"/>
        </w:rPr>
        <w:t>l’environnement : quelles</w:t>
      </w:r>
      <w:r w:rsidRPr="00B3440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34404">
        <w:rPr>
          <w:rFonts w:asciiTheme="majorHAnsi" w:hAnsiTheme="majorHAnsi" w:cstheme="majorHAnsi"/>
          <w:b/>
          <w:bCs/>
          <w:smallCaps/>
          <w:sz w:val="24"/>
          <w:szCs w:val="24"/>
        </w:rPr>
        <w:t>conséquences en pratique ?</w:t>
      </w:r>
    </w:p>
    <w:p w14:paraId="152BDAEF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 : Le principe de prévention</w:t>
      </w:r>
    </w:p>
    <w:p w14:paraId="4E7ACBBB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II : Le principe de précaution</w:t>
      </w:r>
    </w:p>
    <w:p w14:paraId="57E694A8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III : Le principe pollueur-payeur (PPP)</w:t>
      </w:r>
    </w:p>
    <w:p w14:paraId="43E1D510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IV : Le droit à l’information et à la participation</w:t>
      </w:r>
    </w:p>
    <w:p w14:paraId="49B78D18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1ACBA19" w14:textId="77777777" w:rsidR="00B34404" w:rsidRPr="00B34404" w:rsidRDefault="00B34404" w:rsidP="00B34404">
      <w:pPr>
        <w:jc w:val="both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B34404">
        <w:rPr>
          <w:rFonts w:asciiTheme="majorHAnsi" w:hAnsiTheme="majorHAnsi" w:cstheme="majorHAnsi"/>
          <w:b/>
          <w:bCs/>
          <w:smallCaps/>
          <w:sz w:val="24"/>
          <w:szCs w:val="24"/>
        </w:rPr>
        <w:t>Partie III : Pollutions et déchets</w:t>
      </w:r>
    </w:p>
    <w:p w14:paraId="7A6C0587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 : L’air</w:t>
      </w:r>
    </w:p>
    <w:p w14:paraId="1D1D11F1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II : L’eau</w:t>
      </w:r>
    </w:p>
    <w:p w14:paraId="7F4614CD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III : Le sol</w:t>
      </w:r>
    </w:p>
    <w:p w14:paraId="0E2AEA49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F6AA71F" w14:textId="77777777" w:rsidR="00B34404" w:rsidRPr="00B34404" w:rsidRDefault="00B34404" w:rsidP="00B34404">
      <w:pPr>
        <w:jc w:val="both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B34404">
        <w:rPr>
          <w:rFonts w:asciiTheme="majorHAnsi" w:hAnsiTheme="majorHAnsi" w:cstheme="majorHAnsi"/>
          <w:b/>
          <w:bCs/>
          <w:smallCaps/>
          <w:sz w:val="24"/>
          <w:szCs w:val="24"/>
        </w:rPr>
        <w:t>Partie IV : Biodiversité</w:t>
      </w:r>
    </w:p>
    <w:p w14:paraId="599A175E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 : Définition juridique</w:t>
      </w:r>
    </w:p>
    <w:p w14:paraId="077F5974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Section</w:t>
      </w:r>
      <w:r w:rsidRPr="00B34404">
        <w:rPr>
          <w:rFonts w:asciiTheme="majorHAnsi" w:hAnsiTheme="majorHAnsi" w:cstheme="majorHAnsi"/>
          <w:sz w:val="24"/>
          <w:szCs w:val="24"/>
        </w:rPr>
        <w:t xml:space="preserve"> II : Enjeux juridiques concrets : faut-il personnaliser la nature et ses éléments ? </w:t>
      </w:r>
    </w:p>
    <w:p w14:paraId="375F1F73" w14:textId="57464330" w:rsidR="00B34404" w:rsidRPr="00B34404" w:rsidRDefault="00B34404" w:rsidP="00F014C0">
      <w:pPr>
        <w:spacing w:after="0" w:line="240" w:lineRule="auto"/>
        <w:rPr>
          <w:rFonts w:asciiTheme="majorHAnsi" w:hAnsiTheme="majorHAnsi" w:cstheme="majorHAnsi"/>
          <w:b/>
        </w:rPr>
      </w:pPr>
    </w:p>
    <w:p w14:paraId="0EA8AC55" w14:textId="77777777" w:rsidR="00F014C0" w:rsidRPr="00B34404" w:rsidRDefault="00F014C0" w:rsidP="00F014C0">
      <w:pPr>
        <w:rPr>
          <w:rFonts w:asciiTheme="majorHAnsi" w:hAnsiTheme="majorHAnsi" w:cstheme="majorHAnsi"/>
        </w:rPr>
      </w:pPr>
    </w:p>
    <w:p w14:paraId="77E7EE60" w14:textId="77777777" w:rsidR="000C41A8" w:rsidRPr="00B34404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r w:rsidRPr="00B34404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Bibliographie </w:t>
      </w:r>
      <w:r w:rsidRPr="00B34404">
        <w:rPr>
          <w:rFonts w:asciiTheme="majorHAnsi" w:hAnsiTheme="majorHAnsi" w:cstheme="majorHAnsi"/>
          <w:i/>
          <w:color w:val="7F7F7F" w:themeColor="text1" w:themeTint="80"/>
          <w:szCs w:val="28"/>
        </w:rPr>
        <w:t>- Bibliography :</w:t>
      </w:r>
    </w:p>
    <w:p w14:paraId="1159EAD9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mallCaps/>
          <w:sz w:val="24"/>
          <w:szCs w:val="24"/>
        </w:rPr>
      </w:pPr>
    </w:p>
    <w:p w14:paraId="04181012" w14:textId="6AD1E563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Billet</w:t>
      </w:r>
      <w:r w:rsidRPr="00B34404">
        <w:rPr>
          <w:rFonts w:asciiTheme="majorHAnsi" w:hAnsiTheme="majorHAnsi" w:cstheme="majorHAnsi"/>
          <w:sz w:val="24"/>
          <w:szCs w:val="24"/>
        </w:rPr>
        <w:t xml:space="preserve"> P., </w:t>
      </w:r>
      <w:r w:rsidRPr="00B34404">
        <w:rPr>
          <w:rFonts w:asciiTheme="majorHAnsi" w:hAnsiTheme="majorHAnsi" w:cstheme="majorHAnsi"/>
          <w:smallCaps/>
          <w:sz w:val="24"/>
          <w:szCs w:val="24"/>
        </w:rPr>
        <w:t>Naim-</w:t>
      </w:r>
      <w:proofErr w:type="spellStart"/>
      <w:r w:rsidRPr="00B34404">
        <w:rPr>
          <w:rFonts w:asciiTheme="majorHAnsi" w:hAnsiTheme="majorHAnsi" w:cstheme="majorHAnsi"/>
          <w:smallCaps/>
          <w:sz w:val="24"/>
          <w:szCs w:val="24"/>
        </w:rPr>
        <w:t>Gesbert</w:t>
      </w:r>
      <w:proofErr w:type="spellEnd"/>
      <w:r w:rsidRPr="00B34404">
        <w:rPr>
          <w:rFonts w:asciiTheme="majorHAnsi" w:hAnsiTheme="majorHAnsi" w:cstheme="majorHAnsi"/>
          <w:sz w:val="24"/>
          <w:szCs w:val="24"/>
        </w:rPr>
        <w:t xml:space="preserve"> E., </w:t>
      </w:r>
      <w:r w:rsidRPr="00B34404">
        <w:rPr>
          <w:rFonts w:asciiTheme="majorHAnsi" w:hAnsiTheme="majorHAnsi" w:cstheme="majorHAnsi"/>
          <w:i/>
          <w:iCs/>
          <w:sz w:val="24"/>
          <w:szCs w:val="24"/>
        </w:rPr>
        <w:t>Les grands arrêts du droit de l’environnement</w:t>
      </w:r>
      <w:r w:rsidRPr="00B34404">
        <w:rPr>
          <w:rFonts w:asciiTheme="majorHAnsi" w:hAnsiTheme="majorHAnsi" w:cstheme="majorHAnsi"/>
          <w:sz w:val="24"/>
          <w:szCs w:val="24"/>
        </w:rPr>
        <w:t>, Dalloz.</w:t>
      </w:r>
    </w:p>
    <w:p w14:paraId="2A2D472D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34404">
        <w:rPr>
          <w:rFonts w:asciiTheme="majorHAnsi" w:hAnsiTheme="majorHAnsi" w:cstheme="majorHAnsi"/>
          <w:smallCaps/>
          <w:sz w:val="24"/>
          <w:szCs w:val="24"/>
        </w:rPr>
        <w:t>Fonbaustier</w:t>
      </w:r>
      <w:proofErr w:type="spellEnd"/>
      <w:r w:rsidRPr="00B34404">
        <w:rPr>
          <w:rFonts w:asciiTheme="majorHAnsi" w:hAnsiTheme="majorHAnsi" w:cstheme="majorHAnsi"/>
          <w:smallCaps/>
          <w:sz w:val="24"/>
          <w:szCs w:val="24"/>
        </w:rPr>
        <w:t xml:space="preserve"> L, </w:t>
      </w:r>
      <w:r w:rsidRPr="00B34404">
        <w:rPr>
          <w:rFonts w:asciiTheme="majorHAnsi" w:hAnsiTheme="majorHAnsi" w:cstheme="majorHAnsi"/>
          <w:i/>
          <w:iCs/>
          <w:sz w:val="24"/>
          <w:szCs w:val="24"/>
        </w:rPr>
        <w:t>Manuel de droit de l’environnement</w:t>
      </w:r>
      <w:r w:rsidRPr="00B34404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34404">
        <w:rPr>
          <w:rFonts w:asciiTheme="majorHAnsi" w:hAnsiTheme="majorHAnsi" w:cstheme="majorHAnsi"/>
          <w:sz w:val="24"/>
          <w:szCs w:val="24"/>
        </w:rPr>
        <w:t>Puf</w:t>
      </w:r>
      <w:proofErr w:type="spellEnd"/>
      <w:r w:rsidRPr="00B34404">
        <w:rPr>
          <w:rFonts w:asciiTheme="majorHAnsi" w:hAnsiTheme="majorHAnsi" w:cstheme="majorHAnsi"/>
          <w:sz w:val="24"/>
          <w:szCs w:val="24"/>
        </w:rPr>
        <w:t>.</w:t>
      </w:r>
    </w:p>
    <w:p w14:paraId="26104B83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34404">
        <w:rPr>
          <w:rFonts w:asciiTheme="majorHAnsi" w:hAnsiTheme="majorHAnsi" w:cstheme="majorHAnsi"/>
          <w:smallCaps/>
          <w:sz w:val="24"/>
          <w:szCs w:val="24"/>
        </w:rPr>
        <w:t>Maljean</w:t>
      </w:r>
      <w:proofErr w:type="spellEnd"/>
      <w:r w:rsidRPr="00B34404">
        <w:rPr>
          <w:rFonts w:asciiTheme="majorHAnsi" w:hAnsiTheme="majorHAnsi" w:cstheme="majorHAnsi"/>
          <w:smallCaps/>
          <w:sz w:val="24"/>
          <w:szCs w:val="24"/>
        </w:rPr>
        <w:t>-Dubois</w:t>
      </w:r>
      <w:r w:rsidRPr="00B34404">
        <w:rPr>
          <w:rFonts w:asciiTheme="majorHAnsi" w:hAnsiTheme="majorHAnsi" w:cstheme="majorHAnsi"/>
          <w:sz w:val="24"/>
          <w:szCs w:val="24"/>
        </w:rPr>
        <w:t xml:space="preserve"> S., </w:t>
      </w:r>
      <w:r w:rsidRPr="00B34404">
        <w:rPr>
          <w:rFonts w:asciiTheme="majorHAnsi" w:hAnsiTheme="majorHAnsi" w:cstheme="majorHAnsi"/>
          <w:i/>
          <w:iCs/>
          <w:sz w:val="24"/>
          <w:szCs w:val="24"/>
        </w:rPr>
        <w:t xml:space="preserve">Quel droit pour </w:t>
      </w:r>
      <w:proofErr w:type="gramStart"/>
      <w:r w:rsidRPr="00B34404">
        <w:rPr>
          <w:rFonts w:asciiTheme="majorHAnsi" w:hAnsiTheme="majorHAnsi" w:cstheme="majorHAnsi"/>
          <w:i/>
          <w:iCs/>
          <w:sz w:val="24"/>
          <w:szCs w:val="24"/>
        </w:rPr>
        <w:t>l’environnement ?</w:t>
      </w:r>
      <w:r w:rsidRPr="00B34404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Pr="00B34404">
        <w:rPr>
          <w:rFonts w:asciiTheme="majorHAnsi" w:hAnsiTheme="majorHAnsi" w:cstheme="majorHAnsi"/>
          <w:sz w:val="24"/>
          <w:szCs w:val="24"/>
        </w:rPr>
        <w:t xml:space="preserve"> Hachette supérieur, Les fondamentaux Droit.</w:t>
      </w:r>
    </w:p>
    <w:p w14:paraId="5A2DA2FA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lastRenderedPageBreak/>
        <w:t>Ost</w:t>
      </w:r>
      <w:r w:rsidRPr="00B34404">
        <w:rPr>
          <w:rFonts w:asciiTheme="majorHAnsi" w:hAnsiTheme="majorHAnsi" w:cstheme="majorHAnsi"/>
          <w:sz w:val="24"/>
          <w:szCs w:val="24"/>
        </w:rPr>
        <w:t xml:space="preserve"> F., </w:t>
      </w:r>
      <w:r w:rsidRPr="00B34404">
        <w:rPr>
          <w:rFonts w:asciiTheme="majorHAnsi" w:hAnsiTheme="majorHAnsi" w:cstheme="majorHAnsi"/>
          <w:i/>
          <w:iCs/>
          <w:sz w:val="24"/>
          <w:szCs w:val="24"/>
        </w:rPr>
        <w:t>La nature hors la loi, l’écologie à l’épreuve du droit</w:t>
      </w:r>
      <w:r w:rsidRPr="00B34404">
        <w:rPr>
          <w:rFonts w:asciiTheme="majorHAnsi" w:hAnsiTheme="majorHAnsi" w:cstheme="majorHAnsi"/>
          <w:sz w:val="24"/>
          <w:szCs w:val="24"/>
        </w:rPr>
        <w:t>, La Découverte.</w:t>
      </w:r>
    </w:p>
    <w:p w14:paraId="23D2281D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Prieur</w:t>
      </w:r>
      <w:r w:rsidRPr="00B34404">
        <w:rPr>
          <w:rFonts w:asciiTheme="majorHAnsi" w:hAnsiTheme="majorHAnsi" w:cstheme="majorHAnsi"/>
          <w:sz w:val="24"/>
          <w:szCs w:val="24"/>
        </w:rPr>
        <w:t xml:space="preserve"> M., </w:t>
      </w:r>
      <w:r w:rsidRPr="00B34404">
        <w:rPr>
          <w:rFonts w:asciiTheme="majorHAnsi" w:hAnsiTheme="majorHAnsi" w:cstheme="majorHAnsi"/>
          <w:i/>
          <w:iCs/>
          <w:sz w:val="24"/>
          <w:szCs w:val="24"/>
        </w:rPr>
        <w:t>Droit de l’environnement</w:t>
      </w:r>
      <w:r w:rsidRPr="00B34404">
        <w:rPr>
          <w:rFonts w:asciiTheme="majorHAnsi" w:hAnsiTheme="majorHAnsi" w:cstheme="majorHAnsi"/>
          <w:sz w:val="24"/>
          <w:szCs w:val="24"/>
        </w:rPr>
        <w:t>, Dalloz.</w:t>
      </w:r>
    </w:p>
    <w:p w14:paraId="5059AB76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mallCaps/>
          <w:sz w:val="24"/>
          <w:szCs w:val="24"/>
        </w:rPr>
      </w:pPr>
      <w:proofErr w:type="spellStart"/>
      <w:r w:rsidRPr="00B34404">
        <w:rPr>
          <w:rFonts w:asciiTheme="majorHAnsi" w:hAnsiTheme="majorHAnsi" w:cstheme="majorHAnsi"/>
          <w:smallCaps/>
          <w:sz w:val="24"/>
          <w:szCs w:val="24"/>
        </w:rPr>
        <w:t>Romi</w:t>
      </w:r>
      <w:proofErr w:type="spellEnd"/>
      <w:r w:rsidRPr="00B34404">
        <w:rPr>
          <w:rFonts w:asciiTheme="majorHAnsi" w:hAnsiTheme="majorHAnsi" w:cstheme="majorHAnsi"/>
          <w:sz w:val="24"/>
          <w:szCs w:val="24"/>
        </w:rPr>
        <w:t xml:space="preserve"> R., </w:t>
      </w:r>
      <w:r w:rsidRPr="00B34404">
        <w:rPr>
          <w:rFonts w:asciiTheme="majorHAnsi" w:hAnsiTheme="majorHAnsi" w:cstheme="majorHAnsi"/>
          <w:i/>
          <w:iCs/>
          <w:sz w:val="24"/>
          <w:szCs w:val="24"/>
        </w:rPr>
        <w:t>Droit international et européen de l’environnement</w:t>
      </w:r>
      <w:r w:rsidRPr="00B34404">
        <w:rPr>
          <w:rFonts w:asciiTheme="majorHAnsi" w:hAnsiTheme="majorHAnsi" w:cstheme="majorHAnsi"/>
          <w:sz w:val="24"/>
          <w:szCs w:val="24"/>
        </w:rPr>
        <w:t>, LGDJ.</w:t>
      </w:r>
    </w:p>
    <w:p w14:paraId="1B13C049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34404">
        <w:rPr>
          <w:rFonts w:asciiTheme="majorHAnsi" w:hAnsiTheme="majorHAnsi" w:cstheme="majorHAnsi"/>
          <w:smallCaps/>
          <w:sz w:val="24"/>
          <w:szCs w:val="24"/>
        </w:rPr>
        <w:t>Romi</w:t>
      </w:r>
      <w:proofErr w:type="spellEnd"/>
      <w:r w:rsidRPr="00B34404">
        <w:rPr>
          <w:rFonts w:asciiTheme="majorHAnsi" w:hAnsiTheme="majorHAnsi" w:cstheme="majorHAnsi"/>
          <w:sz w:val="24"/>
          <w:szCs w:val="24"/>
        </w:rPr>
        <w:t xml:space="preserve"> R., </w:t>
      </w:r>
      <w:r w:rsidRPr="00B34404">
        <w:rPr>
          <w:rFonts w:asciiTheme="majorHAnsi" w:hAnsiTheme="majorHAnsi" w:cstheme="majorHAnsi"/>
          <w:smallCaps/>
          <w:sz w:val="24"/>
          <w:szCs w:val="24"/>
        </w:rPr>
        <w:t>Audrain-</w:t>
      </w:r>
      <w:proofErr w:type="spellStart"/>
      <w:r w:rsidRPr="00B34404">
        <w:rPr>
          <w:rFonts w:asciiTheme="majorHAnsi" w:hAnsiTheme="majorHAnsi" w:cstheme="majorHAnsi"/>
          <w:smallCaps/>
          <w:sz w:val="24"/>
          <w:szCs w:val="24"/>
        </w:rPr>
        <w:t>Demey</w:t>
      </w:r>
      <w:proofErr w:type="spellEnd"/>
      <w:r w:rsidRPr="00B34404">
        <w:rPr>
          <w:rFonts w:asciiTheme="majorHAnsi" w:hAnsiTheme="majorHAnsi" w:cstheme="majorHAnsi"/>
          <w:sz w:val="24"/>
          <w:szCs w:val="24"/>
        </w:rPr>
        <w:t xml:space="preserve"> G, </w:t>
      </w:r>
      <w:proofErr w:type="spellStart"/>
      <w:r w:rsidRPr="00B34404">
        <w:rPr>
          <w:rFonts w:asciiTheme="majorHAnsi" w:hAnsiTheme="majorHAnsi" w:cstheme="majorHAnsi"/>
          <w:smallCaps/>
          <w:sz w:val="24"/>
          <w:szCs w:val="24"/>
        </w:rPr>
        <w:t>Lormeteau</w:t>
      </w:r>
      <w:proofErr w:type="spellEnd"/>
      <w:r w:rsidRPr="00B34404">
        <w:rPr>
          <w:rFonts w:asciiTheme="majorHAnsi" w:hAnsiTheme="majorHAnsi" w:cstheme="majorHAnsi"/>
          <w:sz w:val="24"/>
          <w:szCs w:val="24"/>
        </w:rPr>
        <w:t xml:space="preserve"> B., </w:t>
      </w:r>
      <w:r w:rsidRPr="00B34404">
        <w:rPr>
          <w:rFonts w:asciiTheme="majorHAnsi" w:hAnsiTheme="majorHAnsi" w:cstheme="majorHAnsi"/>
          <w:i/>
          <w:iCs/>
          <w:sz w:val="24"/>
          <w:szCs w:val="24"/>
        </w:rPr>
        <w:t>Droit de l’environnement et du développement durable</w:t>
      </w:r>
      <w:r w:rsidRPr="00B34404">
        <w:rPr>
          <w:rFonts w:asciiTheme="majorHAnsi" w:hAnsiTheme="majorHAnsi" w:cstheme="majorHAnsi"/>
          <w:sz w:val="24"/>
          <w:szCs w:val="24"/>
        </w:rPr>
        <w:t>, LGDJ.</w:t>
      </w:r>
    </w:p>
    <w:p w14:paraId="5FC47201" w14:textId="77777777" w:rsidR="00B34404" w:rsidRPr="00B34404" w:rsidRDefault="00B34404" w:rsidP="00B34404">
      <w:pPr>
        <w:jc w:val="both"/>
        <w:rPr>
          <w:rFonts w:asciiTheme="majorHAnsi" w:hAnsiTheme="majorHAnsi" w:cstheme="majorHAnsi"/>
          <w:sz w:val="24"/>
          <w:szCs w:val="24"/>
        </w:rPr>
      </w:pPr>
      <w:r w:rsidRPr="00B34404">
        <w:rPr>
          <w:rFonts w:asciiTheme="majorHAnsi" w:hAnsiTheme="majorHAnsi" w:cstheme="majorHAnsi"/>
          <w:smallCaps/>
          <w:sz w:val="24"/>
          <w:szCs w:val="24"/>
        </w:rPr>
        <w:t>Serres</w:t>
      </w:r>
      <w:r w:rsidRPr="00B34404">
        <w:rPr>
          <w:rFonts w:asciiTheme="majorHAnsi" w:hAnsiTheme="majorHAnsi" w:cstheme="majorHAnsi"/>
          <w:sz w:val="24"/>
          <w:szCs w:val="24"/>
        </w:rPr>
        <w:t xml:space="preserve"> M., « Le droit peut sauver la Nature », </w:t>
      </w:r>
      <w:r w:rsidRPr="00B34404">
        <w:rPr>
          <w:rFonts w:asciiTheme="majorHAnsi" w:hAnsiTheme="majorHAnsi" w:cstheme="majorHAnsi"/>
          <w:i/>
          <w:iCs/>
          <w:sz w:val="24"/>
          <w:szCs w:val="24"/>
        </w:rPr>
        <w:t>Pouvoirs</w:t>
      </w:r>
      <w:r w:rsidRPr="00B34404">
        <w:rPr>
          <w:rFonts w:asciiTheme="majorHAnsi" w:hAnsiTheme="majorHAnsi" w:cstheme="majorHAnsi"/>
          <w:sz w:val="24"/>
          <w:szCs w:val="24"/>
        </w:rPr>
        <w:t>, vol. 127, n° 4, p. 5-12, 2008.</w:t>
      </w:r>
    </w:p>
    <w:p w14:paraId="4B45BDB3" w14:textId="19E51309" w:rsidR="00071FD3" w:rsidRPr="00B34404" w:rsidRDefault="00071FD3" w:rsidP="00B34404">
      <w:pPr>
        <w:spacing w:after="60" w:line="240" w:lineRule="auto"/>
        <w:jc w:val="both"/>
        <w:rPr>
          <w:rFonts w:asciiTheme="majorHAnsi" w:hAnsiTheme="majorHAnsi" w:cstheme="majorHAnsi"/>
          <w:color w:val="000000"/>
        </w:rPr>
      </w:pPr>
    </w:p>
    <w:sectPr w:rsidR="00071FD3" w:rsidRPr="00B34404" w:rsidSect="000C41A8">
      <w:headerReference w:type="default" r:id="rId8"/>
      <w:type w:val="continuous"/>
      <w:pgSz w:w="11906" w:h="16838"/>
      <w:pgMar w:top="-1980" w:right="720" w:bottom="720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CB0A" w14:textId="77777777" w:rsidR="00902B32" w:rsidRDefault="00902B32">
      <w:pPr>
        <w:spacing w:after="0" w:line="240" w:lineRule="auto"/>
      </w:pPr>
      <w:r>
        <w:separator/>
      </w:r>
    </w:p>
  </w:endnote>
  <w:endnote w:type="continuationSeparator" w:id="0">
    <w:p w14:paraId="74553795" w14:textId="77777777" w:rsidR="00902B32" w:rsidRDefault="0090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8791" w14:textId="77777777" w:rsidR="00902B32" w:rsidRDefault="00902B32">
      <w:pPr>
        <w:spacing w:after="0" w:line="240" w:lineRule="auto"/>
      </w:pPr>
      <w:r>
        <w:separator/>
      </w:r>
    </w:p>
  </w:footnote>
  <w:footnote w:type="continuationSeparator" w:id="0">
    <w:p w14:paraId="36376707" w14:textId="77777777" w:rsidR="00902B32" w:rsidRDefault="0090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800A" w14:textId="77777777" w:rsidR="006F0748" w:rsidRDefault="006F07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190D894" wp14:editId="5CD18A3E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26" name="Image 2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A1EEF"/>
    <w:multiLevelType w:val="hybridMultilevel"/>
    <w:tmpl w:val="BD307446"/>
    <w:lvl w:ilvl="0" w:tplc="A7087122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B966DEB"/>
    <w:multiLevelType w:val="hybridMultilevel"/>
    <w:tmpl w:val="947CE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4085">
    <w:abstractNumId w:val="1"/>
  </w:num>
  <w:num w:numId="2" w16cid:durableId="107578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07"/>
    <w:rsid w:val="00012FB3"/>
    <w:rsid w:val="00023DD8"/>
    <w:rsid w:val="000361D4"/>
    <w:rsid w:val="00046159"/>
    <w:rsid w:val="00047ECA"/>
    <w:rsid w:val="0005528E"/>
    <w:rsid w:val="00071FD3"/>
    <w:rsid w:val="000909FC"/>
    <w:rsid w:val="000C41A8"/>
    <w:rsid w:val="000F13C3"/>
    <w:rsid w:val="00110258"/>
    <w:rsid w:val="00127546"/>
    <w:rsid w:val="00127E8A"/>
    <w:rsid w:val="0018354D"/>
    <w:rsid w:val="00195796"/>
    <w:rsid w:val="001B017B"/>
    <w:rsid w:val="001B751D"/>
    <w:rsid w:val="0021014C"/>
    <w:rsid w:val="0028790C"/>
    <w:rsid w:val="002A0CA3"/>
    <w:rsid w:val="003044C4"/>
    <w:rsid w:val="0035036C"/>
    <w:rsid w:val="00357A03"/>
    <w:rsid w:val="003651E7"/>
    <w:rsid w:val="003659CE"/>
    <w:rsid w:val="0038329C"/>
    <w:rsid w:val="00385E33"/>
    <w:rsid w:val="003C76EE"/>
    <w:rsid w:val="003D0CE7"/>
    <w:rsid w:val="003D0CE8"/>
    <w:rsid w:val="004274F7"/>
    <w:rsid w:val="00432754"/>
    <w:rsid w:val="004347F9"/>
    <w:rsid w:val="00437609"/>
    <w:rsid w:val="00444FA0"/>
    <w:rsid w:val="004952A9"/>
    <w:rsid w:val="0049715B"/>
    <w:rsid w:val="0049773F"/>
    <w:rsid w:val="004A4F53"/>
    <w:rsid w:val="004B34FA"/>
    <w:rsid w:val="00506FD2"/>
    <w:rsid w:val="0051214B"/>
    <w:rsid w:val="00543FC3"/>
    <w:rsid w:val="0054400C"/>
    <w:rsid w:val="005779CD"/>
    <w:rsid w:val="0058156E"/>
    <w:rsid w:val="005A3102"/>
    <w:rsid w:val="005A64A4"/>
    <w:rsid w:val="005E084C"/>
    <w:rsid w:val="00665751"/>
    <w:rsid w:val="006C2683"/>
    <w:rsid w:val="006C32DE"/>
    <w:rsid w:val="006D670B"/>
    <w:rsid w:val="006E2E95"/>
    <w:rsid w:val="006F0748"/>
    <w:rsid w:val="00735CF0"/>
    <w:rsid w:val="007A1360"/>
    <w:rsid w:val="007A4DEF"/>
    <w:rsid w:val="007B6661"/>
    <w:rsid w:val="007F6C16"/>
    <w:rsid w:val="00800BBB"/>
    <w:rsid w:val="0082499B"/>
    <w:rsid w:val="00902B32"/>
    <w:rsid w:val="00906395"/>
    <w:rsid w:val="0093464D"/>
    <w:rsid w:val="0093765D"/>
    <w:rsid w:val="00944BA2"/>
    <w:rsid w:val="00961072"/>
    <w:rsid w:val="0098091F"/>
    <w:rsid w:val="009902BC"/>
    <w:rsid w:val="009B4962"/>
    <w:rsid w:val="009B5807"/>
    <w:rsid w:val="009C591E"/>
    <w:rsid w:val="009E5F32"/>
    <w:rsid w:val="00A237CE"/>
    <w:rsid w:val="00A26251"/>
    <w:rsid w:val="00A758F3"/>
    <w:rsid w:val="00A93E58"/>
    <w:rsid w:val="00B34404"/>
    <w:rsid w:val="00B433F9"/>
    <w:rsid w:val="00B8338D"/>
    <w:rsid w:val="00B962AE"/>
    <w:rsid w:val="00BA1E41"/>
    <w:rsid w:val="00BA27EE"/>
    <w:rsid w:val="00BB2CE2"/>
    <w:rsid w:val="00BD03F0"/>
    <w:rsid w:val="00C25BFC"/>
    <w:rsid w:val="00C32368"/>
    <w:rsid w:val="00C36B9B"/>
    <w:rsid w:val="00C601F0"/>
    <w:rsid w:val="00C920C9"/>
    <w:rsid w:val="00C926B1"/>
    <w:rsid w:val="00CB0244"/>
    <w:rsid w:val="00CE5A64"/>
    <w:rsid w:val="00D45AB4"/>
    <w:rsid w:val="00D51649"/>
    <w:rsid w:val="00D72AA3"/>
    <w:rsid w:val="00DC02C9"/>
    <w:rsid w:val="00DE5862"/>
    <w:rsid w:val="00DF34F1"/>
    <w:rsid w:val="00E14D80"/>
    <w:rsid w:val="00EC58B1"/>
    <w:rsid w:val="00ED75B8"/>
    <w:rsid w:val="00F014C0"/>
    <w:rsid w:val="00F472BF"/>
    <w:rsid w:val="00F47CFC"/>
    <w:rsid w:val="00F52E7A"/>
    <w:rsid w:val="00F7262E"/>
    <w:rsid w:val="00F81965"/>
    <w:rsid w:val="00FC5A99"/>
    <w:rsid w:val="00FD2C9E"/>
    <w:rsid w:val="00FF23DC"/>
    <w:rsid w:val="3784A4B1"/>
    <w:rsid w:val="40FE9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DC8EB"/>
  <w15:docId w15:val="{C23E4DF1-9861-4096-9EC0-B9717C3F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f"/>
    <w:qFormat/>
    <w:rsid w:val="009B5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7"/>
  </w:style>
  <w:style w:type="paragraph" w:styleId="Pieddepage">
    <w:name w:val="footer"/>
    <w:basedOn w:val="Normal"/>
    <w:link w:val="PieddepageC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B8"/>
  </w:style>
  <w:style w:type="character" w:styleId="Lienhypertexte">
    <w:name w:val="Hyperlink"/>
    <w:basedOn w:val="Policepardfaut"/>
    <w:uiPriority w:val="99"/>
    <w:unhideWhenUsed/>
    <w:rsid w:val="00DC02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2BC"/>
    <w:pPr>
      <w:ind w:left="720"/>
      <w:contextualSpacing/>
    </w:pPr>
  </w:style>
  <w:style w:type="paragraph" w:customStyle="1" w:styleId="Default">
    <w:name w:val="Default"/>
    <w:rsid w:val="00127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rsid w:val="0054400C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customStyle="1" w:styleId="qui">
    <w:name w:val="qui"/>
    <w:basedOn w:val="Policepardfaut"/>
    <w:rsid w:val="00D51649"/>
  </w:style>
  <w:style w:type="character" w:customStyle="1" w:styleId="titre">
    <w:name w:val="titre"/>
    <w:basedOn w:val="Policepardfaut"/>
    <w:rsid w:val="00D51649"/>
  </w:style>
  <w:style w:type="paragraph" w:styleId="Corpsdetexte">
    <w:name w:val="Body Text"/>
    <w:basedOn w:val="Normal"/>
    <w:link w:val="CorpsdetexteCar"/>
    <w:rsid w:val="00D51649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51649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a-size-large">
    <w:name w:val="a-size-large"/>
    <w:basedOn w:val="Policepardfaut"/>
    <w:rsid w:val="00D51649"/>
  </w:style>
  <w:style w:type="character" w:customStyle="1" w:styleId="a-size-medium">
    <w:name w:val="a-size-medium"/>
    <w:basedOn w:val="Policepardfaut"/>
    <w:rsid w:val="00D51649"/>
  </w:style>
  <w:style w:type="character" w:styleId="Mentionnonrsolue">
    <w:name w:val="Unresolved Mention"/>
    <w:basedOn w:val="Policepardfaut"/>
    <w:uiPriority w:val="99"/>
    <w:semiHidden/>
    <w:unhideWhenUsed/>
    <w:rsid w:val="00183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loe.geynet-dussauze@sciencespo-lill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Desrumaux</dc:creator>
  <cp:lastModifiedBy>Mathilde Szuba</cp:lastModifiedBy>
  <cp:revision>2</cp:revision>
  <dcterms:created xsi:type="dcterms:W3CDTF">2022-09-16T07:52:00Z</dcterms:created>
  <dcterms:modified xsi:type="dcterms:W3CDTF">2022-09-16T07:52:00Z</dcterms:modified>
</cp:coreProperties>
</file>