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CF8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6C4B5241" w14:textId="2E795C1D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</w:p>
    <w:p w14:paraId="209F717D" w14:textId="18EF2A33" w:rsidR="000C41A8" w:rsidRPr="0051214B" w:rsidRDefault="00A93E58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>1</w:t>
      </w:r>
      <w:r w:rsidRPr="00A93E58">
        <w:rPr>
          <w:noProof/>
          <w:szCs w:val="24"/>
          <w:vertAlign w:val="superscript"/>
        </w:rPr>
        <w:t>ère</w:t>
      </w:r>
      <w:r w:rsidR="00C63671">
        <w:rPr>
          <w:noProof/>
          <w:szCs w:val="24"/>
        </w:rPr>
        <w:t xml:space="preserve"> année </w:t>
      </w:r>
      <w:r w:rsidR="00C63671" w:rsidRPr="0051214B">
        <w:rPr>
          <w:szCs w:val="24"/>
        </w:rPr>
        <w:t xml:space="preserve"> </w:t>
      </w:r>
      <w:r w:rsidR="000C41A8" w:rsidRPr="0051214B">
        <w:rPr>
          <w:szCs w:val="24"/>
        </w:rPr>
        <w:br/>
      </w:r>
      <w:r w:rsidR="00DC02C9">
        <w:rPr>
          <w:i/>
          <w:noProof/>
          <w:szCs w:val="24"/>
        </w:rPr>
        <w:t>Semestre 1</w:t>
      </w:r>
      <w:r>
        <w:rPr>
          <w:i/>
          <w:noProof/>
          <w:szCs w:val="24"/>
        </w:rPr>
        <w:t xml:space="preserve"> </w:t>
      </w:r>
    </w:p>
    <w:p w14:paraId="1FD19537" w14:textId="77777777" w:rsidR="000C41A8" w:rsidRPr="0051214B" w:rsidRDefault="000C41A8" w:rsidP="009B5807">
      <w:pPr>
        <w:spacing w:after="0"/>
        <w:jc w:val="right"/>
        <w:rPr>
          <w:szCs w:val="28"/>
        </w:rPr>
      </w:pPr>
    </w:p>
    <w:p w14:paraId="4656196D" w14:textId="2F8B2C7E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095CE20B" w14:textId="57D9CD39" w:rsidR="00A46F9E" w:rsidRDefault="00A93E58" w:rsidP="00A46F9E">
      <w:pPr>
        <w:rPr>
          <w:b/>
          <w:bCs/>
        </w:rPr>
      </w:pPr>
      <w:r>
        <w:rPr>
          <w:b/>
          <w:noProof/>
          <w:sz w:val="24"/>
          <w:szCs w:val="28"/>
        </w:rPr>
        <w:t>Titre en français</w:t>
      </w:r>
      <w:r w:rsidR="00582392">
        <w:rPr>
          <w:b/>
          <w:noProof/>
          <w:sz w:val="24"/>
          <w:szCs w:val="28"/>
        </w:rPr>
        <w:t> : Outils juridiques et politiques sociales pour l’égalité</w:t>
      </w:r>
      <w:r w:rsidR="00A46F9E">
        <w:rPr>
          <w:b/>
          <w:noProof/>
          <w:sz w:val="24"/>
          <w:szCs w:val="28"/>
        </w:rPr>
        <w:t xml:space="preserve"> : </w:t>
      </w:r>
      <w:r w:rsidR="00A46F9E">
        <w:rPr>
          <w:b/>
          <w:bCs/>
        </w:rPr>
        <w:t>La lutte contre les discriminations entre les hommes et les femmes dans l’emploi</w:t>
      </w:r>
    </w:p>
    <w:p w14:paraId="596F22E4" w14:textId="6F14F1F9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Pr="00D22A14">
        <w:rPr>
          <w:noProof/>
          <w:sz w:val="20"/>
        </w:rPr>
        <w:t>Cours magistral</w:t>
      </w:r>
      <w:r w:rsidR="00A93E58">
        <w:rPr>
          <w:noProof/>
          <w:sz w:val="20"/>
        </w:rPr>
        <w:t xml:space="preserve"> </w:t>
      </w:r>
    </w:p>
    <w:p w14:paraId="179A7047" w14:textId="1193D8F1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902BC">
        <w:rPr>
          <w:noProof/>
          <w:sz w:val="20"/>
        </w:rPr>
        <w:t>Français</w:t>
      </w:r>
      <w:r w:rsidR="00A93E58">
        <w:rPr>
          <w:noProof/>
          <w:sz w:val="20"/>
        </w:rPr>
        <w:t xml:space="preserve"> </w:t>
      </w:r>
    </w:p>
    <w:p w14:paraId="1AD21967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9255472" w14:textId="6FF65636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78254C96" w14:textId="7E5EC920" w:rsidR="000C41A8" w:rsidRPr="002457B1" w:rsidRDefault="000A7EB3" w:rsidP="009B5807">
      <w:pPr>
        <w:tabs>
          <w:tab w:val="left" w:pos="1843"/>
        </w:tabs>
        <w:spacing w:after="60" w:line="240" w:lineRule="auto"/>
        <w:rPr>
          <w:b/>
          <w:bCs/>
          <w:noProof/>
          <w:szCs w:val="28"/>
        </w:rPr>
      </w:pPr>
      <w:r w:rsidRPr="002457B1">
        <w:rPr>
          <w:b/>
          <w:bCs/>
          <w:noProof/>
          <w:szCs w:val="28"/>
        </w:rPr>
        <w:t>Laurence PERU-PIROTTE</w:t>
      </w:r>
    </w:p>
    <w:p w14:paraId="49F81904" w14:textId="45103395" w:rsidR="00444FA0" w:rsidRDefault="000A7EB3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Maître de Conférences en Droit privé</w:t>
      </w:r>
    </w:p>
    <w:p w14:paraId="55BA5AFC" w14:textId="479069E7" w:rsidR="000C41A8" w:rsidRDefault="00F019EE" w:rsidP="009B5807">
      <w:pPr>
        <w:tabs>
          <w:tab w:val="left" w:pos="1843"/>
        </w:tabs>
        <w:spacing w:after="60" w:line="240" w:lineRule="auto"/>
        <w:rPr>
          <w:i/>
          <w:sz w:val="20"/>
        </w:rPr>
      </w:pPr>
      <w:hyperlink r:id="rId7" w:history="1">
        <w:r w:rsidRPr="00DA7EAB">
          <w:rPr>
            <w:rStyle w:val="Lienhypertexte"/>
            <w:i/>
            <w:sz w:val="20"/>
          </w:rPr>
          <w:t>laurence.peru-pirotte@univ-lille.fr</w:t>
        </w:r>
      </w:hyperlink>
    </w:p>
    <w:p w14:paraId="2A900D55" w14:textId="77777777" w:rsidR="00C10E5D" w:rsidRPr="00047ECA" w:rsidRDefault="00C10E5D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69414724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085328DE" w14:textId="63B899C1" w:rsidR="000C41A8" w:rsidRPr="00A93E58" w:rsidRDefault="00C10E5D" w:rsidP="009B5807">
      <w:pPr>
        <w:tabs>
          <w:tab w:val="left" w:pos="1843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L’affirmation dans la Constitution de 1945 de l’égalité entre les hommes et les femmes n’est pas suffisante pour permettre l’égalité réelle. Aussi le législateur français, souvent sous l’impulsion européenne, a-t-il crée un dispositif de lutte contre les discriminations. L’objectif </w:t>
      </w:r>
      <w:r w:rsidR="0089587B">
        <w:rPr>
          <w:sz w:val="24"/>
          <w:szCs w:val="24"/>
        </w:rPr>
        <w:t xml:space="preserve">du cours </w:t>
      </w:r>
      <w:r>
        <w:rPr>
          <w:sz w:val="24"/>
          <w:szCs w:val="24"/>
        </w:rPr>
        <w:t xml:space="preserve">est d’abord de comprendre le concept de discrimination, </w:t>
      </w:r>
      <w:r w:rsidR="0083144D">
        <w:rPr>
          <w:sz w:val="24"/>
          <w:szCs w:val="24"/>
        </w:rPr>
        <w:t xml:space="preserve">y compris dans la dimension harcèlement, </w:t>
      </w:r>
      <w:r>
        <w:rPr>
          <w:sz w:val="24"/>
          <w:szCs w:val="24"/>
        </w:rPr>
        <w:t>pour pouvoir correc</w:t>
      </w:r>
      <w:r w:rsidR="00A46F9E">
        <w:rPr>
          <w:sz w:val="24"/>
          <w:szCs w:val="24"/>
        </w:rPr>
        <w:t>tement</w:t>
      </w:r>
      <w:r>
        <w:rPr>
          <w:sz w:val="24"/>
          <w:szCs w:val="24"/>
        </w:rPr>
        <w:t xml:space="preserve"> la qualifier, </w:t>
      </w:r>
      <w:r w:rsidR="00A46F9E">
        <w:rPr>
          <w:sz w:val="24"/>
          <w:szCs w:val="24"/>
        </w:rPr>
        <w:t>et donc la traiter</w:t>
      </w:r>
      <w:r w:rsidR="001B7249">
        <w:rPr>
          <w:sz w:val="24"/>
          <w:szCs w:val="24"/>
        </w:rPr>
        <w:t xml:space="preserve">, le cas échéant par une sanction. Des dispositifs spécifiques de protection pour les femmes </w:t>
      </w:r>
      <w:r w:rsidR="0083144D">
        <w:rPr>
          <w:sz w:val="24"/>
          <w:szCs w:val="24"/>
        </w:rPr>
        <w:t>,</w:t>
      </w:r>
      <w:r w:rsidR="001B7249">
        <w:rPr>
          <w:sz w:val="24"/>
          <w:szCs w:val="24"/>
        </w:rPr>
        <w:t>ont été mis en place</w:t>
      </w:r>
      <w:r w:rsidR="0083144D">
        <w:rPr>
          <w:sz w:val="24"/>
          <w:szCs w:val="24"/>
        </w:rPr>
        <w:t>, l’un au sujet de la maternité et de la parentalité, l’autre pour permettre aux femmes de faire carrière. Pour rattraper les retards, la mise en place d’indicateurs</w:t>
      </w:r>
      <w:r w:rsidR="0089587B">
        <w:rPr>
          <w:sz w:val="24"/>
          <w:szCs w:val="24"/>
        </w:rPr>
        <w:t>, l’obligation de négocier sur l’égalité entre les hommes et les femmes</w:t>
      </w:r>
      <w:r w:rsidR="0083144D">
        <w:rPr>
          <w:sz w:val="24"/>
          <w:szCs w:val="24"/>
        </w:rPr>
        <w:t xml:space="preserve"> et des mesures d’actions positives sont également pris. </w:t>
      </w:r>
      <w:r w:rsidR="003D0CA1">
        <w:rPr>
          <w:sz w:val="24"/>
          <w:szCs w:val="24"/>
        </w:rPr>
        <w:t>Enfin il faut s’interroger sur les moyens de prévenir les discriminations.</w:t>
      </w:r>
    </w:p>
    <w:p w14:paraId="1247AA3C" w14:textId="77777777" w:rsidR="00A93E58" w:rsidRPr="00432754" w:rsidRDefault="00A93E58" w:rsidP="009B5807">
      <w:pPr>
        <w:tabs>
          <w:tab w:val="left" w:pos="1843"/>
        </w:tabs>
        <w:spacing w:after="60" w:line="240" w:lineRule="auto"/>
        <w:jc w:val="both"/>
      </w:pPr>
    </w:p>
    <w:p w14:paraId="625A6915" w14:textId="4518AAD1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proofErr w:type="spellStart"/>
      <w:r w:rsidRPr="007A1360">
        <w:rPr>
          <w:b/>
          <w:color w:val="7F7F7F" w:themeColor="text1" w:themeTint="80"/>
          <w:sz w:val="28"/>
          <w:szCs w:val="28"/>
        </w:rPr>
        <w:t>Evaluation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</w:p>
    <w:p w14:paraId="417E27B1" w14:textId="1F0CB216" w:rsidR="000C41A8" w:rsidRDefault="003D0CA1" w:rsidP="009B5807">
      <w:pPr>
        <w:spacing w:after="60" w:line="240" w:lineRule="auto"/>
        <w:jc w:val="both"/>
      </w:pPr>
      <w:r>
        <w:t xml:space="preserve">Un </w:t>
      </w:r>
      <w:r w:rsidR="0008449E">
        <w:t>écrit d’une durée de 2H : étude de cas .</w:t>
      </w:r>
    </w:p>
    <w:p w14:paraId="76279063" w14:textId="77777777" w:rsidR="006D670B" w:rsidRPr="009902BC" w:rsidRDefault="006D670B" w:rsidP="009B5807">
      <w:pPr>
        <w:spacing w:after="60" w:line="240" w:lineRule="auto"/>
        <w:jc w:val="both"/>
      </w:pPr>
    </w:p>
    <w:p w14:paraId="18464FC6" w14:textId="2E4CB87F" w:rsidR="00B567EC" w:rsidRDefault="000C41A8" w:rsidP="00B567EC">
      <w:pPr>
        <w:rPr>
          <w:rFonts w:cstheme="minorHAnsi"/>
          <w:i/>
          <w:color w:val="7F7F7F" w:themeColor="text1" w:themeTint="80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="00B567EC">
        <w:rPr>
          <w:rFonts w:cstheme="minorHAnsi"/>
          <w:i/>
          <w:color w:val="7F7F7F" w:themeColor="text1" w:themeTint="80"/>
          <w:szCs w:val="28"/>
        </w:rPr>
        <w:t>–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09D82C18" w14:textId="266D7ABF" w:rsidR="00B567EC" w:rsidRDefault="00B567EC" w:rsidP="00B567EC">
      <w:r w:rsidRPr="00EE7FB1">
        <w:rPr>
          <w:b/>
          <w:bCs/>
        </w:rPr>
        <w:t>Séance</w:t>
      </w:r>
      <w:r>
        <w:rPr>
          <w:b/>
          <w:bCs/>
        </w:rPr>
        <w:t>s</w:t>
      </w:r>
      <w:r w:rsidRPr="00EE7FB1">
        <w:rPr>
          <w:b/>
          <w:bCs/>
        </w:rPr>
        <w:t xml:space="preserve"> 1</w:t>
      </w:r>
      <w:r>
        <w:rPr>
          <w:b/>
          <w:bCs/>
        </w:rPr>
        <w:t xml:space="preserve"> et 2</w:t>
      </w:r>
      <w:r w:rsidRPr="00EE7FB1">
        <w:rPr>
          <w:b/>
          <w:bCs/>
        </w:rPr>
        <w:t> :</w:t>
      </w:r>
      <w:r>
        <w:rPr>
          <w:b/>
          <w:bCs/>
        </w:rPr>
        <w:t xml:space="preserve"> Du </w:t>
      </w:r>
      <w:r w:rsidRPr="00EE7FB1">
        <w:rPr>
          <w:b/>
          <w:bCs/>
        </w:rPr>
        <w:t xml:space="preserve">concept général de discrimination </w:t>
      </w:r>
      <w:r>
        <w:rPr>
          <w:b/>
          <w:bCs/>
        </w:rPr>
        <w:t>à la qualification des discriminations entre les hommes et les femmes dans l’emploi</w:t>
      </w:r>
    </w:p>
    <w:p w14:paraId="4520487F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Une notion complexe (depuis la loi de 2008)</w:t>
      </w:r>
    </w:p>
    <w:p w14:paraId="0289F753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Discrimination directe</w:t>
      </w:r>
    </w:p>
    <w:p w14:paraId="01E1CDB3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Discrimination indirecte</w:t>
      </w:r>
    </w:p>
    <w:p w14:paraId="4E9CF564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Harcèlements</w:t>
      </w:r>
    </w:p>
    <w:p w14:paraId="767ED1FD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Provocation à la discrimination</w:t>
      </w:r>
    </w:p>
    <w:p w14:paraId="7A4AD935" w14:textId="77777777" w:rsidR="00B567EC" w:rsidRDefault="00B567EC" w:rsidP="00B567EC">
      <w:pPr>
        <w:pStyle w:val="Paragraphedeliste"/>
        <w:ind w:left="1780"/>
      </w:pPr>
    </w:p>
    <w:p w14:paraId="72FA4EC3" w14:textId="77777777" w:rsidR="00B567EC" w:rsidRDefault="00B567EC" w:rsidP="00B567EC">
      <w:pPr>
        <w:pStyle w:val="Paragraphedeliste"/>
        <w:spacing w:after="0" w:line="240" w:lineRule="auto"/>
        <w:ind w:left="1060"/>
      </w:pPr>
    </w:p>
    <w:p w14:paraId="247BC1AA" w14:textId="504E9D6D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Les éléments qui permettent la qualification de discrimination </w:t>
      </w:r>
    </w:p>
    <w:p w14:paraId="3AC15087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lastRenderedPageBreak/>
        <w:t xml:space="preserve">Une différence de traitement dans un domaine interdit par le droit, </w:t>
      </w:r>
    </w:p>
    <w:p w14:paraId="253B269B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Un critère à qualifier </w:t>
      </w:r>
    </w:p>
    <w:p w14:paraId="6944E0CC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L’absence de motif légitime </w:t>
      </w:r>
    </w:p>
    <w:p w14:paraId="1270DFCF" w14:textId="77777777" w:rsidR="00B567EC" w:rsidRDefault="00B567EC" w:rsidP="00B567EC">
      <w:pPr>
        <w:pStyle w:val="Paragraphedeliste"/>
        <w:ind w:left="1780"/>
      </w:pPr>
    </w:p>
    <w:p w14:paraId="0F46B8AE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Notion juridique de discrimination entre les hommes et les femmes dans l’emploi/ discrimination à raison de l’identité de genre</w:t>
      </w:r>
    </w:p>
    <w:p w14:paraId="2727B2B2" w14:textId="77777777" w:rsidR="00B567EC" w:rsidRDefault="00B567EC" w:rsidP="00B567EC">
      <w:pPr>
        <w:pStyle w:val="Paragraphedeliste"/>
        <w:ind w:left="1060"/>
      </w:pPr>
    </w:p>
    <w:p w14:paraId="38FF1515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Les causes des discriminations</w:t>
      </w:r>
    </w:p>
    <w:p w14:paraId="2CD885DF" w14:textId="77777777" w:rsidR="00B567EC" w:rsidRDefault="00B567EC" w:rsidP="00B567EC"/>
    <w:p w14:paraId="3FB4F0AC" w14:textId="216ED7EF" w:rsidR="00B567EC" w:rsidRDefault="00B567EC" w:rsidP="00B567EC">
      <w:pPr>
        <w:rPr>
          <w:b/>
          <w:bCs/>
        </w:rPr>
      </w:pPr>
      <w:r w:rsidRPr="00096163">
        <w:rPr>
          <w:b/>
          <w:bCs/>
        </w:rPr>
        <w:t xml:space="preserve">Séance </w:t>
      </w:r>
      <w:r>
        <w:rPr>
          <w:b/>
          <w:bCs/>
        </w:rPr>
        <w:t>3</w:t>
      </w:r>
      <w:r w:rsidRPr="00096163">
        <w:rPr>
          <w:b/>
          <w:bCs/>
        </w:rPr>
        <w:t> : Le régime juridique de la discrimination</w:t>
      </w:r>
    </w:p>
    <w:p w14:paraId="1B81DC51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L’établissement de la présomption de de la discrimination</w:t>
      </w:r>
    </w:p>
    <w:p w14:paraId="5FEDBD21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La recherche d’un motif légitime ou de la preuve que la décision répond à un motif objectif et étranger à toute discrimination</w:t>
      </w:r>
    </w:p>
    <w:p w14:paraId="3E7D938C" w14:textId="77777777" w:rsidR="00B567EC" w:rsidRDefault="00B567EC" w:rsidP="00B567EC">
      <w:pPr>
        <w:pStyle w:val="Paragraphedeliste"/>
        <w:numPr>
          <w:ilvl w:val="0"/>
          <w:numId w:val="1"/>
        </w:numPr>
        <w:spacing w:after="0" w:line="240" w:lineRule="auto"/>
      </w:pPr>
      <w:r>
        <w:t>La sanction</w:t>
      </w:r>
    </w:p>
    <w:p w14:paraId="729245A9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>Non contentieuse : le règlement amiable des différents</w:t>
      </w:r>
    </w:p>
    <w:p w14:paraId="7087627F" w14:textId="77777777" w:rsidR="00B567EC" w:rsidRDefault="00B567EC" w:rsidP="00B567EC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Contentieuse : </w:t>
      </w:r>
      <w:r>
        <w:tab/>
      </w:r>
    </w:p>
    <w:p w14:paraId="14DA96F4" w14:textId="77777777" w:rsidR="00B567EC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La transaction pénale du Défenseur des droits</w:t>
      </w:r>
    </w:p>
    <w:p w14:paraId="20DDC903" w14:textId="77777777" w:rsidR="00B567EC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Les sanctions civiles  et administratives (Cons. Prud’hommes/ Tribunal administratif)</w:t>
      </w:r>
    </w:p>
    <w:p w14:paraId="77753EAB" w14:textId="77777777" w:rsidR="00B567EC" w:rsidRPr="00DE7CB4" w:rsidRDefault="00B567EC" w:rsidP="00B567EC">
      <w:pPr>
        <w:pStyle w:val="Paragraphedeliste"/>
        <w:numPr>
          <w:ilvl w:val="2"/>
          <w:numId w:val="1"/>
        </w:numPr>
        <w:spacing w:after="0" w:line="240" w:lineRule="auto"/>
      </w:pPr>
      <w:r>
        <w:t>Les sanction pénales ( tribunal correctionnel)</w:t>
      </w:r>
    </w:p>
    <w:p w14:paraId="288C2619" w14:textId="77777777" w:rsidR="00B567EC" w:rsidRDefault="00B567EC" w:rsidP="00B567EC">
      <w:pPr>
        <w:rPr>
          <w:b/>
          <w:bCs/>
        </w:rPr>
      </w:pPr>
    </w:p>
    <w:p w14:paraId="505048EA" w14:textId="2D0F3EC6" w:rsidR="00B567EC" w:rsidRDefault="00B567EC" w:rsidP="00B567EC">
      <w:pPr>
        <w:rPr>
          <w:b/>
          <w:bCs/>
        </w:rPr>
      </w:pPr>
      <w:r>
        <w:rPr>
          <w:b/>
          <w:bCs/>
        </w:rPr>
        <w:t xml:space="preserve">Séance </w:t>
      </w:r>
      <w:r>
        <w:rPr>
          <w:b/>
          <w:bCs/>
        </w:rPr>
        <w:t>4</w:t>
      </w:r>
      <w:r>
        <w:rPr>
          <w:b/>
          <w:bCs/>
        </w:rPr>
        <w:t> : Le régime juridique des harcèlements</w:t>
      </w:r>
    </w:p>
    <w:p w14:paraId="330A2102" w14:textId="77777777" w:rsidR="00B567EC" w:rsidRPr="00DD4B1A" w:rsidRDefault="00B567EC" w:rsidP="00B567EC">
      <w:pPr>
        <w:pStyle w:val="Paragraphedeliste"/>
        <w:numPr>
          <w:ilvl w:val="0"/>
          <w:numId w:val="2"/>
        </w:numPr>
        <w:spacing w:after="0" w:line="240" w:lineRule="auto"/>
      </w:pPr>
      <w:r w:rsidRPr="00DD4B1A">
        <w:t>Harcèlement moral</w:t>
      </w:r>
    </w:p>
    <w:p w14:paraId="26A12810" w14:textId="77777777" w:rsidR="00B567EC" w:rsidRDefault="00B567EC" w:rsidP="00B567EC">
      <w:pPr>
        <w:pStyle w:val="Paragraphedeliste"/>
        <w:numPr>
          <w:ilvl w:val="0"/>
          <w:numId w:val="2"/>
        </w:numPr>
        <w:spacing w:after="0" w:line="240" w:lineRule="auto"/>
      </w:pPr>
      <w:r w:rsidRPr="00DD4B1A">
        <w:t>Harcèlement sexuel</w:t>
      </w:r>
    </w:p>
    <w:p w14:paraId="0F8ABB97" w14:textId="77777777" w:rsidR="00B567EC" w:rsidRDefault="00B567EC" w:rsidP="00B567EC"/>
    <w:p w14:paraId="584B5829" w14:textId="77777777" w:rsidR="00B567EC" w:rsidRDefault="00B567EC" w:rsidP="00B567EC">
      <w:pPr>
        <w:rPr>
          <w:b/>
          <w:bCs/>
        </w:rPr>
      </w:pPr>
      <w:r w:rsidRPr="004513D4">
        <w:rPr>
          <w:b/>
          <w:bCs/>
        </w:rPr>
        <w:t xml:space="preserve">Séance 5 : Les dispositifs spécifiques </w:t>
      </w:r>
      <w:r>
        <w:rPr>
          <w:b/>
          <w:bCs/>
        </w:rPr>
        <w:t>de protection</w:t>
      </w:r>
    </w:p>
    <w:p w14:paraId="5D820199" w14:textId="77777777" w:rsidR="00B567EC" w:rsidRDefault="00B567EC" w:rsidP="00B567EC">
      <w:pPr>
        <w:pStyle w:val="Paragraphedeliste"/>
        <w:numPr>
          <w:ilvl w:val="0"/>
          <w:numId w:val="4"/>
        </w:numPr>
        <w:spacing w:after="0" w:line="240" w:lineRule="auto"/>
      </w:pPr>
      <w:r>
        <w:t>Protection de la grossesse, de la maternité et de la situation de famille</w:t>
      </w:r>
    </w:p>
    <w:p w14:paraId="5F842937" w14:textId="77777777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Protection de la carrière de la salariée</w:t>
      </w:r>
    </w:p>
    <w:p w14:paraId="6C2E0CA1" w14:textId="77777777" w:rsidR="00B567EC" w:rsidRDefault="00B567EC" w:rsidP="00B567EC">
      <w:pPr>
        <w:ind w:left="2832"/>
      </w:pPr>
    </w:p>
    <w:p w14:paraId="3DA75AAC" w14:textId="087D76BD" w:rsidR="00B567EC" w:rsidRDefault="00B567EC" w:rsidP="00B567EC">
      <w:r w:rsidRPr="00433222">
        <w:rPr>
          <w:b/>
          <w:bCs/>
        </w:rPr>
        <w:t>Séance 6 :</w:t>
      </w:r>
      <w:r>
        <w:t xml:space="preserve"> </w:t>
      </w:r>
      <w:r w:rsidRPr="008B36F2">
        <w:rPr>
          <w:b/>
          <w:bCs/>
        </w:rPr>
        <w:t>Les dispositifs de rattrapage</w:t>
      </w:r>
      <w:r w:rsidR="0089587B">
        <w:rPr>
          <w:b/>
          <w:bCs/>
        </w:rPr>
        <w:t xml:space="preserve"> et la prévention des discrimination</w:t>
      </w:r>
      <w:r w:rsidRPr="008B36F2">
        <w:rPr>
          <w:b/>
          <w:bCs/>
        </w:rPr>
        <w:t xml:space="preserve"> : </w:t>
      </w:r>
    </w:p>
    <w:p w14:paraId="649F19DE" w14:textId="77777777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La négociation collective obligatoire</w:t>
      </w:r>
    </w:p>
    <w:p w14:paraId="46B04984" w14:textId="5040DB85" w:rsidR="00B567EC" w:rsidRDefault="00B567EC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Les mesures d’action positive</w:t>
      </w:r>
    </w:p>
    <w:p w14:paraId="63325342" w14:textId="4C868956" w:rsidR="0089587B" w:rsidRDefault="0089587B" w:rsidP="00B567EC">
      <w:pPr>
        <w:pStyle w:val="Paragraphedeliste"/>
        <w:numPr>
          <w:ilvl w:val="0"/>
          <w:numId w:val="3"/>
        </w:numPr>
        <w:spacing w:after="0" w:line="240" w:lineRule="auto"/>
      </w:pPr>
      <w:r>
        <w:t>La prévention des discriminations</w:t>
      </w:r>
    </w:p>
    <w:p w14:paraId="6F8A336E" w14:textId="77777777" w:rsidR="0089587B" w:rsidRDefault="0089587B" w:rsidP="0089587B">
      <w:pPr>
        <w:pStyle w:val="Paragraphedeliste"/>
        <w:spacing w:after="0" w:line="240" w:lineRule="auto"/>
        <w:ind w:left="2484"/>
      </w:pPr>
    </w:p>
    <w:p w14:paraId="39789AA6" w14:textId="77777777" w:rsidR="000C41A8" w:rsidRPr="006F0748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059D541E" w14:textId="45B52FC7" w:rsidR="0064307F" w:rsidRPr="00191C2A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 w:rsidRPr="00191C2A">
        <w:rPr>
          <w:rFonts w:ascii="DejaVuSerif" w:hAnsi="DejaVuSerif"/>
          <w:color w:val="333333"/>
          <w:sz w:val="18"/>
          <w:szCs w:val="18"/>
        </w:rPr>
        <w:t xml:space="preserve">M. </w:t>
      </w:r>
      <w:proofErr w:type="spellStart"/>
      <w:r w:rsidRPr="00191C2A">
        <w:rPr>
          <w:rFonts w:ascii="DejaVuSerif" w:hAnsi="DejaVuSerif"/>
          <w:color w:val="333333"/>
          <w:sz w:val="18"/>
          <w:szCs w:val="18"/>
        </w:rPr>
        <w:t>Abry</w:t>
      </w:r>
      <w:proofErr w:type="spellEnd"/>
      <w:r w:rsidRPr="00191C2A">
        <w:rPr>
          <w:rFonts w:ascii="DejaVuSerif" w:hAnsi="DejaVuSerif"/>
          <w:color w:val="333333"/>
          <w:sz w:val="18"/>
          <w:szCs w:val="18"/>
        </w:rPr>
        <w:t>-Durand, Harcèlement sexuel : harmoni</w:t>
      </w:r>
      <w:r>
        <w:rPr>
          <w:rFonts w:ascii="DejaVuSerif" w:hAnsi="DejaVuSerif"/>
          <w:color w:val="333333"/>
          <w:sz w:val="18"/>
          <w:szCs w:val="18"/>
        </w:rPr>
        <w:t>s</w:t>
      </w:r>
      <w:r w:rsidRPr="00191C2A">
        <w:rPr>
          <w:rFonts w:ascii="DejaVuSerif" w:hAnsi="DejaVuSerif"/>
          <w:color w:val="333333"/>
          <w:sz w:val="18"/>
          <w:szCs w:val="18"/>
        </w:rPr>
        <w:t>ation des d</w:t>
      </w:r>
      <w:r>
        <w:rPr>
          <w:rFonts w:ascii="DejaVuSerif" w:hAnsi="DejaVuSerif"/>
          <w:color w:val="333333"/>
          <w:sz w:val="18"/>
          <w:szCs w:val="18"/>
        </w:rPr>
        <w:t>é</w:t>
      </w:r>
      <w:r w:rsidRPr="00191C2A">
        <w:rPr>
          <w:rFonts w:ascii="DejaVuSerif" w:hAnsi="DejaVuSerif"/>
          <w:color w:val="333333"/>
          <w:sz w:val="18"/>
          <w:szCs w:val="18"/>
        </w:rPr>
        <w:t>finitions entre Code pé</w:t>
      </w:r>
      <w:r>
        <w:rPr>
          <w:rFonts w:ascii="DejaVuSerif" w:hAnsi="DejaVuSerif"/>
          <w:color w:val="333333"/>
          <w:sz w:val="18"/>
          <w:szCs w:val="18"/>
        </w:rPr>
        <w:t xml:space="preserve">nal et Code du travail, </w:t>
      </w:r>
      <w:r w:rsidRPr="00191C2A">
        <w:rPr>
          <w:rFonts w:ascii="DejaVuSerif" w:hAnsi="DejaVuSerif"/>
          <w:color w:val="333333"/>
          <w:sz w:val="18"/>
          <w:szCs w:val="18"/>
        </w:rPr>
        <w:t>rev</w:t>
      </w:r>
      <w:r w:rsidR="003E3B8A">
        <w:rPr>
          <w:rFonts w:ascii="DejaVuSerif" w:hAnsi="DejaVuSerif"/>
          <w:color w:val="333333"/>
          <w:sz w:val="18"/>
          <w:szCs w:val="18"/>
        </w:rPr>
        <w:t xml:space="preserve">ue du </w:t>
      </w:r>
      <w:r w:rsidRPr="00191C2A">
        <w:rPr>
          <w:rFonts w:ascii="DejaVuSerif" w:hAnsi="DejaVuSerif"/>
          <w:color w:val="333333"/>
          <w:sz w:val="18"/>
          <w:szCs w:val="18"/>
        </w:rPr>
        <w:t>Trav</w:t>
      </w:r>
      <w:r w:rsidR="003E3B8A">
        <w:rPr>
          <w:rFonts w:ascii="DejaVuSerif" w:hAnsi="DejaVuSerif"/>
          <w:color w:val="333333"/>
          <w:sz w:val="18"/>
          <w:szCs w:val="18"/>
        </w:rPr>
        <w:t>ail</w:t>
      </w:r>
      <w:r w:rsidRPr="00191C2A">
        <w:rPr>
          <w:rFonts w:ascii="DejaVuSerif" w:hAnsi="DejaVuSerif"/>
          <w:color w:val="333333"/>
          <w:sz w:val="18"/>
          <w:szCs w:val="18"/>
        </w:rPr>
        <w:t xml:space="preserve">. 2022, p. 244s </w:t>
      </w:r>
    </w:p>
    <w:p w14:paraId="7FB0C894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L.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Allart</w:t>
      </w:r>
      <w:proofErr w:type="spellEnd"/>
      <w:r>
        <w:rPr>
          <w:rFonts w:ascii="DejaVuSerif" w:hAnsi="DejaVuSerif"/>
          <w:color w:val="333333"/>
          <w:sz w:val="18"/>
          <w:szCs w:val="18"/>
        </w:rPr>
        <w:t> : l’interdiction des discriminations fondées sur le sexe, outil promotion de l’égalité entre les femmes et les hommes dans l’ordre juridique de l’Union européenne, Revue UE 2015, p. 547s.</w:t>
      </w:r>
    </w:p>
    <w:p w14:paraId="3C0BD31F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Charpenet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C. Lequesne Roth Discriminations et biais genrés, Rec. Dalloz 2019, p. 1852s.</w:t>
      </w:r>
    </w:p>
    <w:p w14:paraId="2CAF21C2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 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Charruau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 : L’introduction de la notion de genre en droit français, RFDA 2015, p. 127s. </w:t>
      </w:r>
    </w:p>
    <w:p w14:paraId="72465060" w14:textId="5E17E9F1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Fondimarre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Le genre, un concept utile pour repenser le droit de la non</w:t>
      </w:r>
      <w:r>
        <w:rPr>
          <w:rFonts w:ascii="DejaVuSerif" w:hAnsi="DejaVuSerif"/>
          <w:color w:val="333333"/>
          <w:sz w:val="18"/>
          <w:szCs w:val="18"/>
        </w:rPr>
        <w:t>-</w:t>
      </w:r>
      <w:r>
        <w:rPr>
          <w:rFonts w:ascii="DejaVuSerif" w:hAnsi="DejaVuSerif"/>
          <w:color w:val="333333"/>
          <w:sz w:val="18"/>
          <w:szCs w:val="18"/>
        </w:rPr>
        <w:t>discrimination, La revue des droits de l’Homme 2014, n°5 p. 9 à 43</w:t>
      </w:r>
    </w:p>
    <w:p w14:paraId="5504A55A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</w:p>
    <w:p w14:paraId="2A25F3D1" w14:textId="6F7A7583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lastRenderedPageBreak/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Fondimarre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La difficile appréhension juridictionnelle des discriminations indirectes fondées sur le sexe, La revue des droits de l’Homme 2016, n°9. </w:t>
      </w:r>
    </w:p>
    <w:p w14:paraId="53F45AE0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S.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Grosbon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Le quarantième anniversaire de la convention sur l’élimination de toutes les discriminations à l’égard des femmes, Revue trimestrielle des droits de l’Homme, 2019/4, n°120, p. 823 à 849.</w:t>
      </w:r>
    </w:p>
    <w:p w14:paraId="55AECC9E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J.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Kokott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&amp; J.-M. Gardette : Le statut de la femme à travers le prisme de la jurisprudence de la Cour de justice de l’Union Européenne, Revue de l’Union européenne 2019, p.341s. </w:t>
      </w:r>
    </w:p>
    <w:p w14:paraId="2DECABA1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F.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Luetz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M. de la Corte Rodriguez : La directive sur l’équilibre entre vie professionnelle et vie privée : vers un partage plus égalitaire des responsabilités familiales, Revue de l’Union européenne 2019, p. 355 s.</w:t>
      </w:r>
    </w:p>
    <w:p w14:paraId="6B811E58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C. Le Berre, C. Michelet : Des discriminations systémiques, Plein droit, 2021/2 ( n°129), p. 24 à 26.</w:t>
      </w:r>
    </w:p>
    <w:p w14:paraId="65B8C309" w14:textId="77777777" w:rsidR="0064307F" w:rsidRPr="00152A69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 w:rsidRPr="00152A69">
        <w:rPr>
          <w:rFonts w:ascii="DejaVuSerif" w:hAnsi="DejaVuSerif"/>
          <w:color w:val="333333"/>
          <w:sz w:val="18"/>
          <w:szCs w:val="18"/>
        </w:rPr>
        <w:t>K.</w:t>
      </w:r>
      <w:r>
        <w:rPr>
          <w:rFonts w:ascii="DejaVuSerif" w:hAnsi="DejaVuSerif"/>
          <w:color w:val="333333"/>
          <w:sz w:val="18"/>
          <w:szCs w:val="18"/>
        </w:rPr>
        <w:t xml:space="preserve"> </w:t>
      </w:r>
      <w:r w:rsidRPr="00152A69">
        <w:rPr>
          <w:rFonts w:ascii="DejaVuSerif" w:hAnsi="DejaVuSerif"/>
          <w:color w:val="333333"/>
          <w:sz w:val="18"/>
          <w:szCs w:val="18"/>
        </w:rPr>
        <w:t>Martin-</w:t>
      </w:r>
      <w:proofErr w:type="spellStart"/>
      <w:r w:rsidRPr="00152A69">
        <w:rPr>
          <w:rFonts w:ascii="DejaVuSerif" w:hAnsi="DejaVuSerif"/>
          <w:color w:val="333333"/>
          <w:sz w:val="18"/>
          <w:szCs w:val="18"/>
        </w:rPr>
        <w:t>Chenut</w:t>
      </w:r>
      <w:proofErr w:type="spellEnd"/>
      <w:r w:rsidRPr="00152A69">
        <w:rPr>
          <w:rFonts w:ascii="DejaVuSerif" w:hAnsi="DejaVuSerif"/>
          <w:color w:val="333333"/>
          <w:sz w:val="18"/>
          <w:szCs w:val="18"/>
        </w:rPr>
        <w:t> &amp; a. : Cour interamé</w:t>
      </w:r>
      <w:r>
        <w:rPr>
          <w:rFonts w:ascii="DejaVuSerif" w:hAnsi="DejaVuSerif"/>
          <w:color w:val="333333"/>
          <w:sz w:val="18"/>
          <w:szCs w:val="18"/>
        </w:rPr>
        <w:t>ricaine des droits de l’homme : la discrimination à l’égard du genre (2021), RSC 2022, p. 423 s.</w:t>
      </w:r>
    </w:p>
    <w:p w14:paraId="7C1F1BF0" w14:textId="77777777" w:rsidR="0064307F" w:rsidRDefault="0064307F" w:rsidP="0064307F">
      <w:pPr>
        <w:pStyle w:val="NormalWeb"/>
        <w:rPr>
          <w:rFonts w:ascii="DejaVuSerif" w:hAnsi="DejaVuSerif"/>
          <w:color w:val="000000" w:themeColor="text1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M.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-Brun, La </w:t>
      </w:r>
      <w:r w:rsidRPr="00D714CA">
        <w:rPr>
          <w:rFonts w:ascii="DejaVuSerif" w:hAnsi="DejaVuSerif"/>
          <w:color w:val="000000" w:themeColor="text1"/>
          <w:sz w:val="18"/>
          <w:szCs w:val="18"/>
        </w:rPr>
        <w:t>discrimination systémique : peut-on repenser les outils de la non -discrimination en Europe ? La revue des droits de l’Homme 2018, n°14.</w:t>
      </w:r>
    </w:p>
    <w:p w14:paraId="507FC710" w14:textId="77777777" w:rsidR="0064307F" w:rsidRDefault="0064307F" w:rsidP="0064307F">
      <w:pPr>
        <w:pStyle w:val="NormalWeb"/>
        <w:rPr>
          <w:rFonts w:ascii="DejaVuSerif" w:hAnsi="DejaVuSerif"/>
          <w:color w:val="000000" w:themeColor="text1"/>
          <w:sz w:val="18"/>
          <w:szCs w:val="18"/>
        </w:rPr>
      </w:pPr>
      <w:r>
        <w:rPr>
          <w:rFonts w:ascii="DejaVuSerif" w:hAnsi="DejaVuSerif"/>
          <w:color w:val="000000" w:themeColor="text1"/>
          <w:sz w:val="18"/>
          <w:szCs w:val="18"/>
        </w:rPr>
        <w:t xml:space="preserve">M. </w:t>
      </w:r>
      <w:proofErr w:type="spellStart"/>
      <w:r>
        <w:rPr>
          <w:rFonts w:ascii="DejaVuSerif" w:hAnsi="DejaVuSerif"/>
          <w:color w:val="000000" w:themeColor="text1"/>
          <w:sz w:val="18"/>
          <w:szCs w:val="18"/>
        </w:rPr>
        <w:t>Mercat</w:t>
      </w:r>
      <w:proofErr w:type="spellEnd"/>
      <w:r>
        <w:rPr>
          <w:rFonts w:ascii="DejaVuSerif" w:hAnsi="DejaVuSerif"/>
          <w:color w:val="000000" w:themeColor="text1"/>
          <w:sz w:val="18"/>
          <w:szCs w:val="18"/>
        </w:rPr>
        <w:t xml:space="preserve"> -Brun, La discrimination systémique : un concept présent ailleurs mais un défi commun ? Revue de droit du travail 2020, p. 423.</w:t>
      </w:r>
    </w:p>
    <w:p w14:paraId="51049AD6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M.Mercat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>-Brun, L’égalité des genres comme mode de transformation des normes, Droit social 2020, p. 17s.</w:t>
      </w:r>
    </w:p>
    <w:p w14:paraId="38B4DE68" w14:textId="7AA9037C" w:rsidR="0064307F" w:rsidRPr="00995B9A" w:rsidRDefault="0064307F" w:rsidP="0064307F">
      <w:pPr>
        <w:pStyle w:val="NormalWeb"/>
        <w:rPr>
          <w:rFonts w:ascii="DejaVuSerif" w:hAnsi="DejaVuSerif"/>
          <w:color w:val="FF0000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M.Mercat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-Brun, Retour de congé parental et discrimination indirecte, note sous Cass. </w:t>
      </w:r>
      <w:proofErr w:type="gramStart"/>
      <w:r>
        <w:rPr>
          <w:rFonts w:ascii="DejaVuSerif" w:hAnsi="DejaVuSerif"/>
          <w:color w:val="333333"/>
          <w:sz w:val="18"/>
          <w:szCs w:val="18"/>
        </w:rPr>
        <w:t>soc</w:t>
      </w:r>
      <w:proofErr w:type="gramEnd"/>
      <w:r>
        <w:rPr>
          <w:rFonts w:ascii="DejaVuSerif" w:hAnsi="DejaVuSerif"/>
          <w:color w:val="333333"/>
          <w:sz w:val="18"/>
          <w:szCs w:val="18"/>
        </w:rPr>
        <w:t>., 14 novembre 2019,</w:t>
      </w:r>
      <w:r w:rsidR="00F00DD3" w:rsidRPr="00F00DD3">
        <w:rPr>
          <w:rFonts w:ascii="DejaVuSerif" w:hAnsi="DejaVuSerif"/>
          <w:color w:val="000000" w:themeColor="text1"/>
          <w:sz w:val="18"/>
          <w:szCs w:val="18"/>
        </w:rPr>
        <w:t xml:space="preserve"> </w:t>
      </w:r>
      <w:r w:rsidR="00F00DD3">
        <w:rPr>
          <w:rFonts w:ascii="DejaVuSerif" w:hAnsi="DejaVuSerif"/>
          <w:color w:val="000000" w:themeColor="text1"/>
          <w:sz w:val="18"/>
          <w:szCs w:val="18"/>
        </w:rPr>
        <w:t>Revue de droit du travail</w:t>
      </w:r>
      <w:r>
        <w:rPr>
          <w:rFonts w:ascii="DejaVuSerif" w:hAnsi="DejaVuSerif"/>
          <w:color w:val="333333"/>
          <w:sz w:val="18"/>
          <w:szCs w:val="18"/>
        </w:rPr>
        <w:t>. 2020, p.195s.</w:t>
      </w:r>
    </w:p>
    <w:p w14:paraId="0DC50D62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S.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Niquège</w:t>
      </w:r>
      <w:proofErr w:type="spellEnd"/>
      <w:r>
        <w:rPr>
          <w:rFonts w:ascii="DejaVuSerif" w:hAnsi="DejaVuSerif"/>
          <w:color w:val="333333"/>
          <w:sz w:val="18"/>
          <w:szCs w:val="18"/>
        </w:rPr>
        <w:t> : Un pas de plus vers l’égalité : l’interdiction des agissements sexistes dans le statut général, AJFP 2016, p. 309s.</w:t>
      </w:r>
    </w:p>
    <w:p w14:paraId="07AB6E93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proofErr w:type="spellStart"/>
      <w:r>
        <w:rPr>
          <w:rFonts w:ascii="DejaVuSerif" w:hAnsi="DejaVuSerif"/>
          <w:color w:val="333333"/>
          <w:sz w:val="18"/>
          <w:szCs w:val="18"/>
        </w:rPr>
        <w:t>L.Ortiz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A propos du genre, une question de droit, Droit et société, 2012/1, p. 225 à 234</w:t>
      </w:r>
    </w:p>
    <w:p w14:paraId="3C87F499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Y.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Pagnerre</w:t>
      </w:r>
      <w:proofErr w:type="spellEnd"/>
      <w:r>
        <w:rPr>
          <w:rFonts w:ascii="DejaVuSerif" w:hAnsi="DejaVuSerif"/>
          <w:color w:val="333333"/>
          <w:sz w:val="18"/>
          <w:szCs w:val="18"/>
        </w:rPr>
        <w:t>, Nouveau domaine du principe de non-discrimination : entre forces créatrices et subversives, Droit social 2017, p.44 s.</w:t>
      </w:r>
    </w:p>
    <w:p w14:paraId="56BDB79F" w14:textId="77777777" w:rsidR="003E3B8A" w:rsidRDefault="003E3B8A" w:rsidP="003E3B8A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F. Petit : Les éléments constitutifs de la rémunération pour l’application de l’index de l’égalité entre les hommes et les femmes, Droit social 2020, n°1, p. 53-57</w:t>
      </w:r>
    </w:p>
    <w:p w14:paraId="00E869BF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>J. Roux, L’égalité entre ( toutes) les femmes et les hommes, La revue des droits de l’Homme 2015, n°7 p. 15 s.</w:t>
      </w:r>
    </w:p>
    <w:p w14:paraId="6F2D6966" w14:textId="46BF76E3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E.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Seys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, N. Michelin :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Egalité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 femmes-hommes et collectivités- L’égalité professionnelle dans la fonction publique territoriale : la lettre et l’esprit, AJ collectivités Territoriales 2015, p.18.</w:t>
      </w:r>
    </w:p>
    <w:p w14:paraId="3C3163EB" w14:textId="77777777" w:rsidR="0064307F" w:rsidRDefault="0064307F" w:rsidP="0064307F">
      <w:pPr>
        <w:pStyle w:val="NormalWeb"/>
        <w:rPr>
          <w:rFonts w:ascii="DejaVuSerif" w:hAnsi="DejaVuSerif"/>
          <w:color w:val="333333"/>
          <w:sz w:val="18"/>
          <w:szCs w:val="18"/>
        </w:rPr>
      </w:pPr>
      <w:r>
        <w:rPr>
          <w:rFonts w:ascii="DejaVuSerif" w:hAnsi="DejaVuSerif"/>
          <w:color w:val="333333"/>
          <w:sz w:val="18"/>
          <w:szCs w:val="18"/>
        </w:rPr>
        <w:t xml:space="preserve">P. Vielle : Une brève histoire des politiques d’égalité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der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 l’Union Européenne sous l’angle des études de genre, </w:t>
      </w:r>
      <w:proofErr w:type="spellStart"/>
      <w:r>
        <w:rPr>
          <w:rFonts w:ascii="DejaVuSerif" w:hAnsi="DejaVuSerif"/>
          <w:color w:val="333333"/>
          <w:sz w:val="18"/>
          <w:szCs w:val="18"/>
        </w:rPr>
        <w:t>Rev</w:t>
      </w:r>
      <w:proofErr w:type="spellEnd"/>
      <w:r>
        <w:rPr>
          <w:rFonts w:ascii="DejaVuSerif" w:hAnsi="DejaVuSerif"/>
          <w:color w:val="333333"/>
          <w:sz w:val="18"/>
          <w:szCs w:val="18"/>
        </w:rPr>
        <w:t xml:space="preserve">. </w:t>
      </w:r>
      <w:proofErr w:type="gramStart"/>
      <w:r>
        <w:rPr>
          <w:rFonts w:ascii="DejaVuSerif" w:hAnsi="DejaVuSerif"/>
          <w:color w:val="333333"/>
          <w:sz w:val="18"/>
          <w:szCs w:val="18"/>
        </w:rPr>
        <w:t>de</w:t>
      </w:r>
      <w:proofErr w:type="gramEnd"/>
      <w:r>
        <w:rPr>
          <w:rFonts w:ascii="DejaVuSerif" w:hAnsi="DejaVuSerif"/>
          <w:color w:val="333333"/>
          <w:sz w:val="18"/>
          <w:szCs w:val="18"/>
        </w:rPr>
        <w:t xml:space="preserve"> l’union européenne 2019, p. 349S.</w:t>
      </w:r>
    </w:p>
    <w:p w14:paraId="77D143F5" w14:textId="77777777" w:rsidR="0064307F" w:rsidRDefault="0064307F" w:rsidP="0064307F"/>
    <w:p w14:paraId="62D1A0AE" w14:textId="77777777" w:rsidR="006D670B" w:rsidRDefault="006D670B" w:rsidP="009B5807">
      <w:pPr>
        <w:spacing w:after="60" w:line="240" w:lineRule="auto"/>
        <w:jc w:val="both"/>
        <w:rPr>
          <w:noProof/>
        </w:rPr>
      </w:pPr>
    </w:p>
    <w:p w14:paraId="1F0E0CE7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911BDA6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38A5914D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42C40486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4EE6271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78437A1D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4FB0AE7C" w14:textId="77777777" w:rsidR="000C41A8" w:rsidRPr="006D670B" w:rsidRDefault="000C41A8"/>
    <w:sectPr w:rsidR="000C41A8" w:rsidRPr="006D670B" w:rsidSect="000C41A8">
      <w:headerReference w:type="default" r:id="rId8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3056" w14:textId="77777777" w:rsidR="004D442F" w:rsidRDefault="004D442F">
      <w:pPr>
        <w:spacing w:after="0" w:line="240" w:lineRule="auto"/>
      </w:pPr>
      <w:r>
        <w:separator/>
      </w:r>
    </w:p>
  </w:endnote>
  <w:endnote w:type="continuationSeparator" w:id="0">
    <w:p w14:paraId="7E8DB7DF" w14:textId="77777777" w:rsidR="004D442F" w:rsidRDefault="004D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24CA" w14:textId="77777777" w:rsidR="004D442F" w:rsidRDefault="004D442F">
      <w:pPr>
        <w:spacing w:after="0" w:line="240" w:lineRule="auto"/>
      </w:pPr>
      <w:r>
        <w:separator/>
      </w:r>
    </w:p>
  </w:footnote>
  <w:footnote w:type="continuationSeparator" w:id="0">
    <w:p w14:paraId="1A6BB6AB" w14:textId="77777777" w:rsidR="004D442F" w:rsidRDefault="004D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81A6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F5F2F9" wp14:editId="7D770E4C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4AD"/>
    <w:multiLevelType w:val="hybridMultilevel"/>
    <w:tmpl w:val="71427152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DD23859"/>
    <w:multiLevelType w:val="hybridMultilevel"/>
    <w:tmpl w:val="F4ACFE56"/>
    <w:lvl w:ilvl="0" w:tplc="040C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5FF348F0"/>
    <w:multiLevelType w:val="hybridMultilevel"/>
    <w:tmpl w:val="0CFA4C26"/>
    <w:lvl w:ilvl="0" w:tplc="8C64563E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0393A3E"/>
    <w:multiLevelType w:val="hybridMultilevel"/>
    <w:tmpl w:val="18BE9D2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68722096">
    <w:abstractNumId w:val="2"/>
  </w:num>
  <w:num w:numId="2" w16cid:durableId="569000848">
    <w:abstractNumId w:val="3"/>
  </w:num>
  <w:num w:numId="3" w16cid:durableId="470558447">
    <w:abstractNumId w:val="0"/>
  </w:num>
  <w:num w:numId="4" w16cid:durableId="168486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07"/>
    <w:rsid w:val="00023DD8"/>
    <w:rsid w:val="00046159"/>
    <w:rsid w:val="00047ECA"/>
    <w:rsid w:val="0005528E"/>
    <w:rsid w:val="0008449E"/>
    <w:rsid w:val="000909FC"/>
    <w:rsid w:val="000A7EB3"/>
    <w:rsid w:val="000C41A8"/>
    <w:rsid w:val="00110258"/>
    <w:rsid w:val="00127E8A"/>
    <w:rsid w:val="00195796"/>
    <w:rsid w:val="001B7249"/>
    <w:rsid w:val="002457B1"/>
    <w:rsid w:val="0035036C"/>
    <w:rsid w:val="00357A03"/>
    <w:rsid w:val="003651E7"/>
    <w:rsid w:val="003659CE"/>
    <w:rsid w:val="0038329C"/>
    <w:rsid w:val="003C76EE"/>
    <w:rsid w:val="003D0CA1"/>
    <w:rsid w:val="003D0CE7"/>
    <w:rsid w:val="003D0CE8"/>
    <w:rsid w:val="003D2E28"/>
    <w:rsid w:val="003E3B8A"/>
    <w:rsid w:val="00427426"/>
    <w:rsid w:val="00432754"/>
    <w:rsid w:val="00444FA0"/>
    <w:rsid w:val="00466BE7"/>
    <w:rsid w:val="0049715B"/>
    <w:rsid w:val="0049773F"/>
    <w:rsid w:val="004A4F53"/>
    <w:rsid w:val="004B34FA"/>
    <w:rsid w:val="004D442F"/>
    <w:rsid w:val="0051214B"/>
    <w:rsid w:val="00543FC3"/>
    <w:rsid w:val="005779CD"/>
    <w:rsid w:val="00582392"/>
    <w:rsid w:val="00587A06"/>
    <w:rsid w:val="005A3102"/>
    <w:rsid w:val="005E084C"/>
    <w:rsid w:val="0064307F"/>
    <w:rsid w:val="00665751"/>
    <w:rsid w:val="006C2683"/>
    <w:rsid w:val="006D670B"/>
    <w:rsid w:val="006F0748"/>
    <w:rsid w:val="00735CF0"/>
    <w:rsid w:val="007A1360"/>
    <w:rsid w:val="007A4DEF"/>
    <w:rsid w:val="007B6661"/>
    <w:rsid w:val="007F6C16"/>
    <w:rsid w:val="0083144D"/>
    <w:rsid w:val="0089587B"/>
    <w:rsid w:val="00906395"/>
    <w:rsid w:val="0093765D"/>
    <w:rsid w:val="00944BA2"/>
    <w:rsid w:val="00961072"/>
    <w:rsid w:val="0098091F"/>
    <w:rsid w:val="009902BC"/>
    <w:rsid w:val="009B4962"/>
    <w:rsid w:val="009B5807"/>
    <w:rsid w:val="009E5F32"/>
    <w:rsid w:val="00A237CE"/>
    <w:rsid w:val="00A26251"/>
    <w:rsid w:val="00A46F9E"/>
    <w:rsid w:val="00A93E58"/>
    <w:rsid w:val="00B433F9"/>
    <w:rsid w:val="00B567EC"/>
    <w:rsid w:val="00BA1E41"/>
    <w:rsid w:val="00C10E5D"/>
    <w:rsid w:val="00C25BFC"/>
    <w:rsid w:val="00C32368"/>
    <w:rsid w:val="00C36B9B"/>
    <w:rsid w:val="00C63671"/>
    <w:rsid w:val="00C920C9"/>
    <w:rsid w:val="00C926B1"/>
    <w:rsid w:val="00CB0244"/>
    <w:rsid w:val="00D45AB4"/>
    <w:rsid w:val="00DC02C9"/>
    <w:rsid w:val="00DE5862"/>
    <w:rsid w:val="00DF34F1"/>
    <w:rsid w:val="00E14D80"/>
    <w:rsid w:val="00EA1754"/>
    <w:rsid w:val="00EC58B1"/>
    <w:rsid w:val="00ED75B8"/>
    <w:rsid w:val="00F00DD3"/>
    <w:rsid w:val="00F019EE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28171"/>
  <w15:chartTrackingRefBased/>
  <w15:docId w15:val="{10BD6792-2F80-41DF-ADA2-AA640EC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10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01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ce.peru-pirotte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Microsoft Office User</cp:lastModifiedBy>
  <cp:revision>12</cp:revision>
  <dcterms:created xsi:type="dcterms:W3CDTF">2022-07-19T08:21:00Z</dcterms:created>
  <dcterms:modified xsi:type="dcterms:W3CDTF">2022-07-19T09:23:00Z</dcterms:modified>
</cp:coreProperties>
</file>